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eastAsia="宋体" w:cs="Times New Roman"/>
          <w:b/>
          <w:bCs/>
          <w:sz w:val="44"/>
          <w:szCs w:val="44"/>
          <w:lang w:eastAsia="zh-CN"/>
        </w:rPr>
      </w:pPr>
      <w:r>
        <w:rPr>
          <w:rFonts w:hint="default" w:ascii="Times New Roman" w:hAnsi="Times New Roman" w:cs="Times New Roman"/>
          <w:b/>
          <w:bCs/>
          <w:sz w:val="44"/>
          <w:szCs w:val="44"/>
          <w:lang w:eastAsia="zh-CN"/>
        </w:rPr>
        <w:t>上饶市广氟医药化工有限公司</w:t>
      </w:r>
    </w:p>
    <w:p>
      <w:pPr>
        <w:jc w:val="center"/>
        <w:rPr>
          <w:rFonts w:hint="default" w:ascii="Times New Roman" w:hAnsi="Times New Roman" w:cs="Times New Roman"/>
        </w:rPr>
      </w:pPr>
      <w:r>
        <w:rPr>
          <w:rFonts w:hint="default" w:ascii="Times New Roman" w:hAnsi="Times New Roman" w:cs="Times New Roman"/>
          <w:b/>
          <w:bCs/>
          <w:sz w:val="52"/>
          <w:szCs w:val="52"/>
        </w:rPr>
        <w:t>在役生产装置</w:t>
      </w:r>
    </w:p>
    <w:p>
      <w:pPr>
        <w:jc w:val="center"/>
        <w:rPr>
          <w:rFonts w:hint="default" w:ascii="Times New Roman" w:hAnsi="Times New Roman" w:cs="Times New Roman"/>
          <w:b/>
          <w:bCs/>
          <w:sz w:val="52"/>
          <w:szCs w:val="52"/>
        </w:rPr>
      </w:pPr>
      <w:r>
        <w:rPr>
          <w:rFonts w:hint="default" w:ascii="Times New Roman" w:hAnsi="Times New Roman" w:cs="Times New Roman"/>
          <w:b/>
          <w:bCs/>
          <w:sz w:val="52"/>
          <w:szCs w:val="52"/>
        </w:rPr>
        <w:t>安全现状评价报告</w:t>
      </w:r>
    </w:p>
    <w:p>
      <w:pPr>
        <w:jc w:val="center"/>
        <w:rPr>
          <w:rFonts w:hint="default" w:ascii="Times New Roman" w:hAnsi="Times New Roman" w:eastAsia="宋体" w:cs="Times New Roman"/>
          <w:b/>
          <w:bCs/>
          <w:sz w:val="44"/>
          <w:szCs w:val="44"/>
          <w:lang w:eastAsia="zh-C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p>
    <w:p>
      <w:pPr>
        <w:rPr>
          <w:rFonts w:hint="default" w:ascii="Times New Roman" w:hAnsi="Times New Roman" w:cs="Times New Roman"/>
        </w:rPr>
      </w:pPr>
    </w:p>
    <w:p>
      <w:pPr>
        <w:pStyle w:val="24"/>
        <w:ind w:left="560"/>
        <w:rPr>
          <w:rFonts w:hint="default" w:ascii="Times New Roman" w:hAnsi="Times New Roman" w:cs="Times New Roman"/>
        </w:rPr>
      </w:pPr>
    </w:p>
    <w:p>
      <w:pPr>
        <w:rPr>
          <w:rFonts w:hint="default" w:ascii="Times New Roman" w:hAnsi="Times New Roman" w:cs="Times New Roman"/>
        </w:rPr>
      </w:pPr>
    </w:p>
    <w:p>
      <w:pPr>
        <w:ind w:firstLine="640" w:firstLineChars="200"/>
        <w:rPr>
          <w:rFonts w:hint="default" w:ascii="Times New Roman" w:hAnsi="Times New Roman" w:eastAsia="宋体" w:cs="Times New Roman"/>
          <w:sz w:val="32"/>
          <w:szCs w:val="32"/>
          <w:lang w:eastAsia="zh-CN"/>
        </w:rPr>
      </w:pPr>
      <w:r>
        <w:rPr>
          <w:rFonts w:hint="default" w:ascii="Times New Roman" w:hAnsi="Times New Roman" w:cs="Times New Roman"/>
          <w:sz w:val="32"/>
          <w:szCs w:val="32"/>
        </w:rPr>
        <w:t>建设单位：</w:t>
      </w:r>
      <w:r>
        <w:rPr>
          <w:rFonts w:hint="default" w:ascii="Times New Roman" w:hAnsi="Times New Roman" w:cs="Times New Roman"/>
          <w:sz w:val="32"/>
          <w:szCs w:val="32"/>
          <w:lang w:eastAsia="zh-CN"/>
        </w:rPr>
        <w:t>上饶市广氟医药化工有限公司</w:t>
      </w:r>
    </w:p>
    <w:p>
      <w:pPr>
        <w:ind w:firstLine="640" w:firstLineChars="200"/>
        <w:rPr>
          <w:rFonts w:hint="default" w:ascii="Times New Roman" w:hAnsi="Times New Roman" w:eastAsia="宋体" w:cs="Times New Roman"/>
          <w:sz w:val="32"/>
          <w:szCs w:val="32"/>
          <w:lang w:eastAsia="zh-CN"/>
        </w:rPr>
      </w:pPr>
      <w:r>
        <w:rPr>
          <w:rFonts w:hint="default" w:ascii="Times New Roman" w:hAnsi="Times New Roman" w:cs="Times New Roman"/>
          <w:sz w:val="32"/>
          <w:szCs w:val="32"/>
        </w:rPr>
        <w:t>建设单位法定代表人：</w:t>
      </w:r>
      <w:r>
        <w:rPr>
          <w:rFonts w:hint="default" w:ascii="Times New Roman" w:hAnsi="Times New Roman" w:cs="Times New Roman"/>
          <w:sz w:val="32"/>
          <w:szCs w:val="32"/>
          <w:lang w:eastAsia="zh-CN"/>
        </w:rPr>
        <w:t>孔永明</w:t>
      </w:r>
    </w:p>
    <w:p>
      <w:pPr>
        <w:ind w:firstLine="640" w:firstLineChars="200"/>
        <w:rPr>
          <w:rFonts w:hint="default" w:ascii="Times New Roman" w:hAnsi="Times New Roman" w:eastAsia="宋体" w:cs="Times New Roman"/>
          <w:sz w:val="32"/>
          <w:szCs w:val="32"/>
          <w:lang w:eastAsia="zh-CN"/>
        </w:rPr>
      </w:pPr>
      <w:r>
        <w:rPr>
          <w:rFonts w:hint="default" w:ascii="Times New Roman" w:hAnsi="Times New Roman" w:cs="Times New Roman"/>
          <w:sz w:val="32"/>
          <w:szCs w:val="32"/>
        </w:rPr>
        <w:t>建设项目单位：</w:t>
      </w:r>
      <w:r>
        <w:rPr>
          <w:rFonts w:hint="default" w:ascii="Times New Roman" w:hAnsi="Times New Roman" w:cs="Times New Roman"/>
          <w:sz w:val="32"/>
          <w:szCs w:val="32"/>
          <w:lang w:eastAsia="zh-CN"/>
        </w:rPr>
        <w:t>上饶市广氟医药化工有限公司</w:t>
      </w:r>
    </w:p>
    <w:p>
      <w:pPr>
        <w:ind w:firstLine="640" w:firstLineChars="200"/>
        <w:rPr>
          <w:rFonts w:hint="default" w:ascii="Times New Roman" w:hAnsi="Times New Roman" w:eastAsia="宋体" w:cs="Times New Roman"/>
          <w:sz w:val="32"/>
          <w:szCs w:val="32"/>
          <w:lang w:eastAsia="zh-CN"/>
        </w:rPr>
      </w:pPr>
      <w:r>
        <w:rPr>
          <w:rFonts w:hint="default" w:ascii="Times New Roman" w:hAnsi="Times New Roman" w:cs="Times New Roman"/>
          <w:sz w:val="32"/>
          <w:szCs w:val="32"/>
        </w:rPr>
        <w:t>建设项目单位主要负责人：</w:t>
      </w:r>
      <w:r>
        <w:rPr>
          <w:rFonts w:hint="default" w:ascii="Times New Roman" w:hAnsi="Times New Roman" w:cs="Times New Roman"/>
          <w:sz w:val="32"/>
          <w:szCs w:val="32"/>
          <w:lang w:eastAsia="zh-CN"/>
        </w:rPr>
        <w:t>刘汉生</w:t>
      </w:r>
    </w:p>
    <w:p>
      <w:pPr>
        <w:ind w:firstLine="640" w:firstLineChars="200"/>
        <w:rPr>
          <w:rFonts w:hint="default" w:ascii="Times New Roman" w:hAnsi="Times New Roman" w:eastAsia="宋体" w:cs="Times New Roman"/>
          <w:sz w:val="32"/>
          <w:szCs w:val="32"/>
          <w:lang w:eastAsia="zh-CN"/>
        </w:rPr>
      </w:pPr>
      <w:r>
        <w:rPr>
          <w:rFonts w:hint="default" w:ascii="Times New Roman" w:hAnsi="Times New Roman" w:cs="Times New Roman"/>
          <w:sz w:val="32"/>
          <w:szCs w:val="32"/>
        </w:rPr>
        <w:t>建设项目单位联系人：</w:t>
      </w:r>
      <w:r>
        <w:rPr>
          <w:rFonts w:hint="default" w:ascii="Times New Roman" w:hAnsi="Times New Roman" w:cs="Times New Roman"/>
          <w:sz w:val="32"/>
          <w:szCs w:val="32"/>
          <w:lang w:eastAsia="zh-CN"/>
        </w:rPr>
        <w:t>刘汉生</w:t>
      </w:r>
    </w:p>
    <w:p>
      <w:pPr>
        <w:ind w:firstLine="640" w:firstLineChars="200"/>
        <w:rPr>
          <w:rFonts w:hint="default" w:ascii="Times New Roman" w:hAnsi="Times New Roman" w:eastAsia="宋体" w:cs="Times New Roman"/>
          <w:sz w:val="32"/>
          <w:szCs w:val="32"/>
          <w:lang w:eastAsia="zh-CN"/>
        </w:rPr>
      </w:pPr>
      <w:r>
        <w:rPr>
          <w:rFonts w:hint="default" w:ascii="Times New Roman" w:hAnsi="Times New Roman" w:cs="Times New Roman"/>
          <w:sz w:val="32"/>
          <w:szCs w:val="32"/>
        </w:rPr>
        <w:t>建设项目单位联系电话：</w:t>
      </w:r>
      <w:r>
        <w:rPr>
          <w:rFonts w:hint="default" w:ascii="Times New Roman" w:hAnsi="Times New Roman" w:cs="Times New Roman"/>
          <w:sz w:val="32"/>
          <w:szCs w:val="32"/>
          <w:lang w:eastAsia="zh-CN"/>
        </w:rPr>
        <w:t>13870355036</w:t>
      </w:r>
    </w:p>
    <w:p>
      <w:pPr>
        <w:jc w:val="center"/>
        <w:rPr>
          <w:rFonts w:hint="default" w:ascii="Times New Roman" w:hAnsi="Times New Roman" w:cs="Times New Roman"/>
        </w:rPr>
      </w:pPr>
    </w:p>
    <w:p>
      <w:pPr>
        <w:jc w:val="center"/>
        <w:rPr>
          <w:rFonts w:hint="default" w:ascii="Times New Roman" w:hAnsi="Times New Roman" w:cs="Times New Roman"/>
          <w:b/>
          <w:bCs/>
          <w:sz w:val="32"/>
          <w:szCs w:val="32"/>
        </w:rPr>
      </w:pPr>
      <w:r>
        <w:rPr>
          <w:rFonts w:hint="default" w:ascii="Times New Roman" w:hAnsi="Times New Roman" w:cs="Times New Roman"/>
          <w:b/>
          <w:bCs/>
        </w:rPr>
        <w:t>202</w:t>
      </w:r>
      <w:r>
        <w:rPr>
          <w:rFonts w:hint="default" w:ascii="Times New Roman" w:hAnsi="Times New Roman" w:cs="Times New Roman"/>
          <w:b/>
          <w:bCs/>
          <w:lang w:val="en-US" w:eastAsia="zh-CN"/>
        </w:rPr>
        <w:t>3</w:t>
      </w:r>
      <w:r>
        <w:rPr>
          <w:rFonts w:hint="default" w:ascii="Times New Roman" w:hAnsi="Times New Roman" w:cs="Times New Roman"/>
          <w:b/>
          <w:bCs/>
        </w:rPr>
        <w:t>年</w:t>
      </w:r>
      <w:r>
        <w:rPr>
          <w:rFonts w:hint="default" w:ascii="Times New Roman" w:hAnsi="Times New Roman" w:cs="Times New Roman"/>
          <w:b/>
          <w:bCs/>
          <w:lang w:val="en-US" w:eastAsia="zh-CN"/>
        </w:rPr>
        <w:t>0</w:t>
      </w:r>
      <w:r>
        <w:rPr>
          <w:rFonts w:hint="eastAsia" w:cs="Times New Roman"/>
          <w:b/>
          <w:bCs/>
          <w:lang w:val="en-US" w:eastAsia="zh-CN"/>
        </w:rPr>
        <w:t>7</w:t>
      </w:r>
      <w:r>
        <w:rPr>
          <w:rFonts w:hint="default" w:ascii="Times New Roman" w:hAnsi="Times New Roman" w:cs="Times New Roman"/>
          <w:b/>
          <w:bCs/>
        </w:rPr>
        <w:t>月</w:t>
      </w:r>
      <w:r>
        <w:rPr>
          <w:rFonts w:hint="eastAsia" w:cs="Times New Roman"/>
          <w:b/>
          <w:bCs/>
          <w:lang w:val="en-US" w:eastAsia="zh-CN"/>
        </w:rPr>
        <w:t>0</w:t>
      </w:r>
      <w:r>
        <w:rPr>
          <w:rFonts w:hint="default" w:ascii="Times New Roman" w:hAnsi="Times New Roman" w:cs="Times New Roman"/>
          <w:b/>
          <w:bCs/>
          <w:lang w:val="en-US" w:eastAsia="zh-CN"/>
        </w:rPr>
        <w:t>9</w:t>
      </w:r>
      <w:r>
        <w:rPr>
          <w:rFonts w:hint="default" w:ascii="Times New Roman" w:hAnsi="Times New Roman" w:cs="Times New Roman"/>
          <w:b/>
          <w:bCs/>
        </w:rPr>
        <w:t>日</w:t>
      </w:r>
    </w:p>
    <w:p>
      <w:pPr>
        <w:pStyle w:val="24"/>
        <w:ind w:left="560"/>
        <w:rPr>
          <w:rFonts w:hint="default" w:ascii="Times New Roman" w:hAnsi="Times New Roman" w:cs="Times New Roman"/>
        </w:rPr>
      </w:pPr>
    </w:p>
    <w:p>
      <w:pPr>
        <w:jc w:val="center"/>
        <w:rPr>
          <w:rFonts w:hint="default" w:ascii="Times New Roman" w:hAnsi="Times New Roman" w:cs="Times New Roman"/>
          <w:b/>
          <w:bCs/>
          <w:sz w:val="32"/>
          <w:szCs w:val="32"/>
        </w:rPr>
      </w:pPr>
    </w:p>
    <w:p>
      <w:pPr>
        <w:jc w:val="center"/>
        <w:rPr>
          <w:rFonts w:hint="default" w:ascii="Times New Roman" w:hAnsi="Times New Roman" w:cs="Times New Roman"/>
          <w:b/>
          <w:bCs/>
          <w:sz w:val="32"/>
          <w:szCs w:val="32"/>
        </w:rPr>
      </w:pPr>
    </w:p>
    <w:p>
      <w:pPr>
        <w:jc w:val="center"/>
        <w:rPr>
          <w:rFonts w:hint="default" w:ascii="Times New Roman" w:hAnsi="Times New Roman" w:eastAsia="宋体" w:cs="Times New Roman"/>
          <w:b/>
          <w:bCs/>
          <w:sz w:val="32"/>
          <w:szCs w:val="32"/>
          <w:lang w:eastAsia="zh-CN"/>
        </w:rPr>
      </w:pPr>
      <w:r>
        <w:rPr>
          <w:rFonts w:hint="default" w:ascii="Times New Roman" w:hAnsi="Times New Roman" w:cs="Times New Roman"/>
          <w:b/>
          <w:bCs/>
          <w:sz w:val="32"/>
          <w:szCs w:val="32"/>
          <w:lang w:eastAsia="zh-CN"/>
        </w:rPr>
        <w:t>上饶市广氟医药化工有限公司</w:t>
      </w:r>
    </w:p>
    <w:p>
      <w:pPr>
        <w:jc w:val="center"/>
        <w:rPr>
          <w:rFonts w:hint="default" w:ascii="Times New Roman" w:hAnsi="Times New Roman" w:cs="Times New Roman"/>
          <w:b/>
          <w:bCs/>
          <w:sz w:val="32"/>
          <w:szCs w:val="32"/>
        </w:rPr>
      </w:pPr>
      <w:r>
        <w:rPr>
          <w:rFonts w:hint="default" w:ascii="Times New Roman" w:hAnsi="Times New Roman" w:cs="Times New Roman"/>
          <w:b/>
          <w:bCs/>
          <w:sz w:val="32"/>
          <w:szCs w:val="32"/>
        </w:rPr>
        <w:t>在役生产装置</w:t>
      </w:r>
    </w:p>
    <w:p>
      <w:pPr>
        <w:jc w:val="center"/>
        <w:rPr>
          <w:rFonts w:hint="default" w:ascii="Times New Roman" w:hAnsi="Times New Roman" w:cs="Times New Roman"/>
          <w:b/>
          <w:bCs/>
          <w:sz w:val="44"/>
          <w:szCs w:val="44"/>
        </w:rPr>
      </w:pPr>
      <w:r>
        <w:rPr>
          <w:rFonts w:hint="default" w:ascii="Times New Roman" w:hAnsi="Times New Roman" w:cs="Times New Roman"/>
          <w:b/>
          <w:bCs/>
          <w:sz w:val="44"/>
          <w:szCs w:val="44"/>
        </w:rPr>
        <w:t>安全现状评价报告</w:t>
      </w:r>
    </w:p>
    <w:p>
      <w:pPr>
        <w:jc w:val="center"/>
        <w:rPr>
          <w:rFonts w:hint="default" w:ascii="Times New Roman" w:hAnsi="Times New Roman" w:eastAsia="宋体" w:cs="Times New Roman"/>
          <w:b/>
          <w:bCs/>
          <w:sz w:val="36"/>
          <w:szCs w:val="36"/>
          <w:lang w:eastAsia="zh-CN"/>
        </w:rPr>
      </w:pPr>
    </w:p>
    <w:p>
      <w:pPr>
        <w:jc w:val="center"/>
        <w:rPr>
          <w:rFonts w:hint="default" w:ascii="Times New Roman" w:hAnsi="Times New Roman" w:cs="Times New Roman"/>
          <w:b/>
          <w:bCs/>
          <w:sz w:val="36"/>
          <w:szCs w:val="36"/>
        </w:rPr>
      </w:pPr>
    </w:p>
    <w:p>
      <w:pPr>
        <w:ind w:firstLine="1150" w:firstLineChars="411"/>
        <w:rPr>
          <w:rFonts w:hint="default" w:ascii="Times New Roman" w:hAnsi="Times New Roman" w:cs="Times New Roman"/>
        </w:rPr>
      </w:pPr>
    </w:p>
    <w:p>
      <w:pPr>
        <w:ind w:firstLine="1150" w:firstLineChars="411"/>
        <w:rPr>
          <w:rFonts w:hint="default" w:ascii="Times New Roman" w:hAnsi="Times New Roman" w:cs="Times New Roman"/>
        </w:rPr>
      </w:pPr>
    </w:p>
    <w:p>
      <w:pPr>
        <w:ind w:firstLine="1150" w:firstLineChars="411"/>
        <w:rPr>
          <w:rFonts w:hint="default" w:ascii="Times New Roman" w:hAnsi="Times New Roman" w:cs="Times New Roman"/>
        </w:rPr>
      </w:pPr>
    </w:p>
    <w:p>
      <w:pPr>
        <w:ind w:firstLine="1150" w:firstLineChars="411"/>
        <w:rPr>
          <w:rFonts w:hint="default" w:ascii="Times New Roman" w:hAnsi="Times New Roman" w:cs="Times New Roman"/>
        </w:rPr>
      </w:pPr>
    </w:p>
    <w:p>
      <w:pPr>
        <w:ind w:firstLine="1150" w:firstLineChars="411"/>
        <w:rPr>
          <w:rFonts w:hint="default" w:ascii="Times New Roman" w:hAnsi="Times New Roman" w:cs="Times New Roman"/>
        </w:rPr>
      </w:pPr>
    </w:p>
    <w:p>
      <w:pPr>
        <w:ind w:firstLine="1150" w:firstLineChars="411"/>
        <w:rPr>
          <w:rFonts w:hint="default" w:ascii="Times New Roman" w:hAnsi="Times New Roman" w:cs="Times New Roman"/>
        </w:rPr>
      </w:pPr>
    </w:p>
    <w:p>
      <w:pPr>
        <w:ind w:firstLine="1150" w:firstLineChars="411"/>
        <w:rPr>
          <w:rFonts w:hint="default" w:ascii="Times New Roman" w:hAnsi="Times New Roman" w:cs="Times New Roman"/>
        </w:rPr>
      </w:pPr>
      <w:r>
        <w:rPr>
          <w:rFonts w:hint="default" w:ascii="Times New Roman" w:hAnsi="Times New Roman" w:cs="Times New Roman"/>
        </w:rPr>
        <w:t>评价机构名称：江西赣安安全生产科学技术咨询服务中心</w:t>
      </w:r>
    </w:p>
    <w:p>
      <w:pPr>
        <w:ind w:firstLine="1150" w:firstLineChars="411"/>
        <w:rPr>
          <w:rFonts w:hint="default" w:ascii="Times New Roman" w:hAnsi="Times New Roman" w:cs="Times New Roman"/>
        </w:rPr>
      </w:pPr>
      <w:r>
        <w:rPr>
          <w:rFonts w:hint="default" w:ascii="Times New Roman" w:hAnsi="Times New Roman" w:cs="Times New Roman"/>
        </w:rPr>
        <w:t>资质证书编号：APJ-（赣）-002</w:t>
      </w:r>
    </w:p>
    <w:p>
      <w:pPr>
        <w:ind w:firstLine="1150" w:firstLineChars="411"/>
        <w:rPr>
          <w:rFonts w:hint="default" w:ascii="Times New Roman" w:hAnsi="Times New Roman" w:eastAsia="宋体" w:cs="Times New Roman"/>
          <w:lang w:eastAsia="zh-CN"/>
        </w:rPr>
      </w:pPr>
      <w:r>
        <w:rPr>
          <w:rFonts w:hint="default" w:ascii="Times New Roman" w:hAnsi="Times New Roman" w:cs="Times New Roman"/>
        </w:rPr>
        <w:t xml:space="preserve">法定代表人 ： </w:t>
      </w:r>
      <w:r>
        <w:rPr>
          <w:rFonts w:hint="default" w:ascii="Times New Roman" w:hAnsi="Times New Roman" w:cs="Times New Roman"/>
          <w:lang w:eastAsia="zh-CN"/>
        </w:rPr>
        <w:t>应</w:t>
      </w:r>
      <w:r>
        <w:rPr>
          <w:rFonts w:hint="default" w:ascii="Times New Roman" w:hAnsi="Times New Roman" w:cs="Times New Roman"/>
          <w:lang w:val="en-US" w:eastAsia="zh-CN"/>
        </w:rPr>
        <w:t xml:space="preserve">  </w:t>
      </w:r>
      <w:r>
        <w:rPr>
          <w:rFonts w:hint="default" w:ascii="Times New Roman" w:hAnsi="Times New Roman" w:cs="Times New Roman"/>
          <w:lang w:eastAsia="zh-CN"/>
        </w:rPr>
        <w:t>宏</w:t>
      </w:r>
    </w:p>
    <w:p>
      <w:pPr>
        <w:ind w:firstLine="1150" w:firstLineChars="411"/>
        <w:rPr>
          <w:rFonts w:hint="default" w:ascii="Times New Roman" w:hAnsi="Times New Roman" w:cs="Times New Roman"/>
        </w:rPr>
      </w:pPr>
      <w:r>
        <w:rPr>
          <w:rFonts w:hint="default" w:ascii="Times New Roman" w:hAnsi="Times New Roman" w:cs="Times New Roman"/>
          <w:lang w:val="en-US" w:eastAsia="zh-CN"/>
        </w:rPr>
        <w:t>技术负责人</w:t>
      </w:r>
      <w:r>
        <w:rPr>
          <w:rFonts w:hint="default" w:ascii="Times New Roman" w:hAnsi="Times New Roman" w:cs="Times New Roman"/>
        </w:rPr>
        <w:t xml:space="preserve"> ： 周红波 </w:t>
      </w:r>
    </w:p>
    <w:p>
      <w:pPr>
        <w:ind w:firstLine="1150" w:firstLineChars="411"/>
        <w:rPr>
          <w:rFonts w:hint="default" w:ascii="Times New Roman" w:hAnsi="Times New Roman" w:eastAsia="宋体" w:cs="Times New Roman"/>
          <w:lang w:eastAsia="zh-CN"/>
        </w:rPr>
      </w:pPr>
      <w:r>
        <w:rPr>
          <w:rFonts w:hint="default" w:ascii="Times New Roman" w:hAnsi="Times New Roman" w:cs="Times New Roman"/>
        </w:rPr>
        <w:t xml:space="preserve">评价负责人 ： </w:t>
      </w:r>
      <w:r>
        <w:rPr>
          <w:rFonts w:hint="default" w:ascii="Times New Roman" w:hAnsi="Times New Roman" w:cs="Times New Roman"/>
          <w:lang w:eastAsia="zh-CN"/>
        </w:rPr>
        <w:t>檀廷斌</w:t>
      </w:r>
    </w:p>
    <w:p>
      <w:pPr>
        <w:ind w:firstLine="1150" w:firstLineChars="411"/>
        <w:rPr>
          <w:rFonts w:hint="default" w:ascii="Times New Roman" w:hAnsi="Times New Roman" w:cs="Times New Roman"/>
        </w:rPr>
      </w:pPr>
      <w:r>
        <w:rPr>
          <w:rFonts w:hint="default" w:ascii="Times New Roman" w:hAnsi="Times New Roman" w:cs="Times New Roman"/>
        </w:rPr>
        <w:t>评价机构联系电话: 0791-87379377</w:t>
      </w:r>
    </w:p>
    <w:p>
      <w:pPr>
        <w:jc w:val="center"/>
        <w:rPr>
          <w:rFonts w:hint="default" w:ascii="Times New Roman" w:hAnsi="Times New Roman" w:eastAsia="仿宋_GB2312" w:cs="Times New Roman"/>
          <w:b/>
          <w:bCs/>
          <w:sz w:val="32"/>
          <w:szCs w:val="32"/>
        </w:rPr>
      </w:pP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202</w:t>
      </w:r>
      <w:r>
        <w:rPr>
          <w:rFonts w:hint="default" w:ascii="Times New Roman" w:hAnsi="Times New Roman" w:cs="Times New Roman"/>
          <w:b/>
          <w:bCs/>
          <w:sz w:val="24"/>
          <w:szCs w:val="24"/>
          <w:lang w:val="en-US" w:eastAsia="zh-CN"/>
        </w:rPr>
        <w:t>3</w:t>
      </w:r>
      <w:r>
        <w:rPr>
          <w:rFonts w:hint="default" w:ascii="Times New Roman" w:hAnsi="Times New Roman" w:cs="Times New Roman"/>
          <w:b/>
          <w:bCs/>
          <w:sz w:val="24"/>
          <w:szCs w:val="24"/>
        </w:rPr>
        <w:t>年</w:t>
      </w:r>
      <w:r>
        <w:rPr>
          <w:rFonts w:hint="default" w:ascii="Times New Roman" w:hAnsi="Times New Roman" w:cs="Times New Roman"/>
          <w:b/>
          <w:bCs/>
          <w:sz w:val="24"/>
          <w:szCs w:val="24"/>
          <w:lang w:val="en-US" w:eastAsia="zh-CN"/>
        </w:rPr>
        <w:t>0</w:t>
      </w:r>
      <w:r>
        <w:rPr>
          <w:rFonts w:hint="eastAsia" w:cs="Times New Roman"/>
          <w:b/>
          <w:bCs/>
          <w:sz w:val="24"/>
          <w:szCs w:val="24"/>
          <w:lang w:val="en-US" w:eastAsia="zh-CN"/>
        </w:rPr>
        <w:t>7</w:t>
      </w:r>
      <w:r>
        <w:rPr>
          <w:rFonts w:hint="default" w:ascii="Times New Roman" w:hAnsi="Times New Roman" w:cs="Times New Roman"/>
          <w:b/>
          <w:bCs/>
          <w:sz w:val="24"/>
          <w:szCs w:val="24"/>
        </w:rPr>
        <w:t>月</w:t>
      </w:r>
      <w:r>
        <w:rPr>
          <w:rFonts w:hint="eastAsia" w:cs="Times New Roman"/>
          <w:b/>
          <w:bCs/>
          <w:sz w:val="24"/>
          <w:szCs w:val="24"/>
          <w:lang w:val="en-US" w:eastAsia="zh-CN"/>
        </w:rPr>
        <w:t>0</w:t>
      </w:r>
      <w:r>
        <w:rPr>
          <w:rFonts w:hint="default" w:ascii="Times New Roman" w:hAnsi="Times New Roman" w:cs="Times New Roman"/>
          <w:b/>
          <w:bCs/>
          <w:sz w:val="24"/>
          <w:szCs w:val="24"/>
          <w:lang w:val="en-US" w:eastAsia="zh-CN"/>
        </w:rPr>
        <w:t>9</w:t>
      </w:r>
      <w:r>
        <w:rPr>
          <w:rFonts w:hint="default" w:ascii="Times New Roman" w:hAnsi="Times New Roman" w:cs="Times New Roman"/>
          <w:b/>
          <w:bCs/>
          <w:sz w:val="24"/>
          <w:szCs w:val="24"/>
        </w:rPr>
        <w:t>日</w:t>
      </w:r>
    </w:p>
    <w:p>
      <w:pPr>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pPr>
        <w:jc w:val="center"/>
        <w:rPr>
          <w:rFonts w:hint="default" w:ascii="Times New Roman" w:hAnsi="Times New Roman" w:cs="Times New Roman"/>
          <w:b/>
          <w:bCs/>
        </w:rPr>
      </w:pPr>
      <w:r>
        <w:rPr>
          <w:rFonts w:hint="default" w:ascii="Times New Roman" w:hAnsi="Times New Roman" w:cs="Times New Roman"/>
          <w:b/>
          <w:bCs/>
          <w:lang w:eastAsia="zh-CN"/>
        </w:rPr>
        <w:t>上饶市广氟医药化工有限公司</w:t>
      </w:r>
      <w:r>
        <w:rPr>
          <w:rFonts w:hint="default" w:ascii="Times New Roman" w:hAnsi="Times New Roman" w:cs="Times New Roman"/>
          <w:b/>
          <w:bCs/>
        </w:rPr>
        <w:t>在役生产装置</w:t>
      </w:r>
    </w:p>
    <w:p>
      <w:pPr>
        <w:jc w:val="center"/>
        <w:rPr>
          <w:rFonts w:hint="default" w:ascii="Times New Roman" w:hAnsi="Times New Roman" w:cs="Times New Roman"/>
          <w:b/>
          <w:bCs/>
        </w:rPr>
      </w:pPr>
      <w:r>
        <w:rPr>
          <w:rFonts w:hint="default" w:ascii="Times New Roman" w:hAnsi="Times New Roman" w:cs="Times New Roman"/>
          <w:b/>
          <w:bCs/>
        </w:rPr>
        <w:t>安全现状评价报告</w:t>
      </w:r>
    </w:p>
    <w:p>
      <w:pPr>
        <w:widowControl/>
        <w:spacing w:before="100" w:beforeAutospacing="1" w:after="100" w:afterAutospacing="1"/>
        <w:jc w:val="center"/>
        <w:rPr>
          <w:rFonts w:hint="default" w:ascii="Times New Roman" w:hAnsi="Times New Roman" w:cs="Times New Roman"/>
          <w:b/>
          <w:bCs/>
          <w:kern w:val="0"/>
          <w:sz w:val="36"/>
          <w:szCs w:val="36"/>
        </w:rPr>
      </w:pPr>
      <w:r>
        <w:rPr>
          <w:rFonts w:hint="default" w:ascii="Times New Roman" w:hAnsi="Times New Roman" w:cs="Times New Roman"/>
          <w:b/>
          <w:bCs/>
          <w:kern w:val="0"/>
          <w:sz w:val="36"/>
          <w:szCs w:val="36"/>
        </w:rPr>
        <w:t>安全现状评价技术服务承诺书</w:t>
      </w:r>
    </w:p>
    <w:p>
      <w:pPr>
        <w:widowControl/>
        <w:wordWrap w:val="0"/>
        <w:spacing w:line="425" w:lineRule="auto"/>
        <w:ind w:firstLine="640" w:firstLineChars="200"/>
        <w:jc w:val="left"/>
        <w:rPr>
          <w:rFonts w:hint="default" w:ascii="Times New Roman" w:hAnsi="Times New Roman" w:eastAsia="仿宋" w:cs="Times New Roman"/>
          <w:kern w:val="0"/>
          <w:sz w:val="32"/>
          <w:szCs w:val="32"/>
        </w:rPr>
      </w:pPr>
      <w:r>
        <w:rPr>
          <w:rFonts w:hint="default" w:ascii="Times New Roman" w:hAnsi="Times New Roman" w:cs="Times New Roman"/>
          <w:kern w:val="0"/>
          <w:sz w:val="32"/>
          <w:szCs w:val="32"/>
        </w:rPr>
        <w:t xml:space="preserve"> </w:t>
      </w:r>
      <w:r>
        <w:rPr>
          <w:rFonts w:hint="default" w:ascii="Times New Roman" w:hAnsi="Times New Roman" w:eastAsia="仿宋" w:cs="Times New Roman"/>
          <w:kern w:val="0"/>
          <w:sz w:val="32"/>
          <w:szCs w:val="32"/>
        </w:rPr>
        <w:t>一、在该</w:t>
      </w:r>
      <w:r>
        <w:rPr>
          <w:rFonts w:hint="eastAsia" w:eastAsia="仿宋" w:cs="Times New Roman"/>
          <w:kern w:val="0"/>
          <w:sz w:val="32"/>
          <w:szCs w:val="32"/>
          <w:lang w:val="en-US" w:eastAsia="zh-CN"/>
        </w:rPr>
        <w:t>企业</w:t>
      </w:r>
      <w:r>
        <w:rPr>
          <w:rFonts w:hint="default" w:ascii="Times New Roman" w:hAnsi="Times New Roman" w:eastAsia="仿宋" w:cs="Times New Roman"/>
          <w:kern w:val="0"/>
          <w:sz w:val="32"/>
          <w:szCs w:val="32"/>
        </w:rPr>
        <w:t xml:space="preserve">安全评价活动过程中，我单位严格遵守《安全生产法》及相关法律、法规和标准的要求。  </w:t>
      </w:r>
    </w:p>
    <w:p>
      <w:pPr>
        <w:widowControl/>
        <w:wordWrap w:val="0"/>
        <w:spacing w:line="425" w:lineRule="auto"/>
        <w:ind w:firstLine="640" w:firstLineChars="200"/>
        <w:jc w:val="left"/>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 xml:space="preserve"> 二、在该</w:t>
      </w:r>
      <w:r>
        <w:rPr>
          <w:rFonts w:hint="eastAsia" w:eastAsia="仿宋" w:cs="Times New Roman"/>
          <w:kern w:val="0"/>
          <w:sz w:val="32"/>
          <w:szCs w:val="32"/>
          <w:lang w:val="en-US" w:eastAsia="zh-CN"/>
        </w:rPr>
        <w:t>企业</w:t>
      </w:r>
      <w:r>
        <w:rPr>
          <w:rFonts w:hint="default" w:ascii="Times New Roman" w:hAnsi="Times New Roman" w:eastAsia="仿宋" w:cs="Times New Roman"/>
          <w:kern w:val="0"/>
          <w:sz w:val="32"/>
          <w:szCs w:val="32"/>
        </w:rPr>
        <w:t>安全评价活动过程中，我单位作为第三方，未受到任何组织和个人的干预和影响，依法独立开展工作，保证了技术服务活动的客观公正性。</w:t>
      </w:r>
    </w:p>
    <w:p>
      <w:pPr>
        <w:widowControl/>
        <w:wordWrap w:val="0"/>
        <w:spacing w:line="425" w:lineRule="auto"/>
        <w:ind w:firstLine="640" w:firstLineChars="200"/>
        <w:jc w:val="left"/>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三、我单位按照实事求是的原则，对该</w:t>
      </w:r>
      <w:r>
        <w:rPr>
          <w:rFonts w:hint="eastAsia" w:eastAsia="仿宋" w:cs="Times New Roman"/>
          <w:kern w:val="0"/>
          <w:sz w:val="32"/>
          <w:szCs w:val="32"/>
          <w:lang w:val="en-US" w:eastAsia="zh-CN"/>
        </w:rPr>
        <w:t>企业</w:t>
      </w:r>
      <w:r>
        <w:rPr>
          <w:rFonts w:hint="default" w:ascii="Times New Roman" w:hAnsi="Times New Roman" w:eastAsia="仿宋" w:cs="Times New Roman"/>
          <w:kern w:val="0"/>
          <w:sz w:val="32"/>
          <w:szCs w:val="32"/>
        </w:rPr>
        <w:t>进行安全评价，确保出具的报告均真实有效，报告所提出的措施具有针对性、有效性和可行性。</w:t>
      </w:r>
    </w:p>
    <w:p>
      <w:pPr>
        <w:widowControl/>
        <w:wordWrap w:val="0"/>
        <w:spacing w:line="425" w:lineRule="auto"/>
        <w:ind w:firstLine="640" w:firstLineChars="200"/>
        <w:jc w:val="left"/>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四、我单位对该</w:t>
      </w:r>
      <w:r>
        <w:rPr>
          <w:rFonts w:hint="eastAsia" w:eastAsia="仿宋" w:cs="Times New Roman"/>
          <w:kern w:val="0"/>
          <w:sz w:val="32"/>
          <w:szCs w:val="32"/>
          <w:lang w:val="en-US" w:eastAsia="zh-CN"/>
        </w:rPr>
        <w:t>企业</w:t>
      </w:r>
      <w:r>
        <w:rPr>
          <w:rFonts w:hint="default" w:ascii="Times New Roman" w:hAnsi="Times New Roman" w:eastAsia="仿宋" w:cs="Times New Roman"/>
          <w:kern w:val="0"/>
          <w:sz w:val="32"/>
          <w:szCs w:val="32"/>
        </w:rPr>
        <w:t xml:space="preserve">安全评价报告中结论性内容承担法律责任。 </w:t>
      </w:r>
    </w:p>
    <w:p>
      <w:pPr>
        <w:widowControl/>
        <w:wordWrap w:val="0"/>
        <w:spacing w:before="100" w:beforeAutospacing="1" w:after="100" w:afterAutospacing="1" w:line="425" w:lineRule="auto"/>
        <w:ind w:firstLine="640" w:firstLineChars="200"/>
        <w:jc w:val="left"/>
        <w:rPr>
          <w:rFonts w:hint="default" w:ascii="Times New Roman" w:hAnsi="Times New Roman" w:cs="Times New Roman"/>
          <w:kern w:val="0"/>
          <w:sz w:val="32"/>
          <w:szCs w:val="32"/>
        </w:rPr>
      </w:pPr>
      <w:r>
        <w:rPr>
          <w:rFonts w:hint="default" w:ascii="Times New Roman" w:hAnsi="Times New Roman" w:cs="Times New Roman"/>
          <w:kern w:val="0"/>
          <w:sz w:val="32"/>
          <w:szCs w:val="32"/>
        </w:rPr>
        <w:t xml:space="preserve">                      </w:t>
      </w:r>
    </w:p>
    <w:p>
      <w:pPr>
        <w:widowControl/>
        <w:wordWrap w:val="0"/>
        <w:spacing w:before="100" w:beforeAutospacing="1" w:after="100" w:afterAutospacing="1" w:line="425" w:lineRule="auto"/>
        <w:ind w:left="638" w:leftChars="228" w:firstLine="640" w:firstLineChars="200"/>
        <w:jc w:val="left"/>
        <w:rPr>
          <w:rFonts w:hint="default" w:ascii="Times New Roman" w:hAnsi="Times New Roman" w:cs="Times New Roman"/>
          <w:kern w:val="0"/>
          <w:sz w:val="32"/>
          <w:szCs w:val="32"/>
        </w:rPr>
      </w:pPr>
      <w:r>
        <w:rPr>
          <w:rFonts w:hint="default" w:ascii="Times New Roman" w:hAnsi="Times New Roman" w:cs="Times New Roman"/>
          <w:kern w:val="0"/>
          <w:sz w:val="32"/>
          <w:szCs w:val="32"/>
        </w:rPr>
        <w:t xml:space="preserve">            </w:t>
      </w:r>
      <w:r>
        <w:rPr>
          <w:rFonts w:hint="default" w:ascii="Times New Roman" w:hAnsi="Times New Roman" w:cs="Times New Roman"/>
        </w:rPr>
        <w:t>江西赣安安全生产科学技术咨询服务中心</w:t>
      </w:r>
    </w:p>
    <w:p>
      <w:pPr>
        <w:widowControl/>
        <w:wordWrap w:val="0"/>
        <w:spacing w:before="100" w:beforeAutospacing="1" w:after="100" w:afterAutospacing="1" w:line="425" w:lineRule="auto"/>
        <w:ind w:firstLine="640" w:firstLineChars="200"/>
        <w:jc w:val="left"/>
        <w:rPr>
          <w:rFonts w:hint="default" w:ascii="Times New Roman" w:hAnsi="Times New Roman" w:cs="Times New Roman"/>
          <w:kern w:val="0"/>
          <w:sz w:val="32"/>
          <w:szCs w:val="32"/>
        </w:rPr>
      </w:pPr>
      <w:r>
        <w:rPr>
          <w:rFonts w:hint="default" w:ascii="Times New Roman" w:hAnsi="Times New Roman" w:cs="Times New Roman"/>
          <w:kern w:val="0"/>
          <w:sz w:val="32"/>
          <w:szCs w:val="32"/>
        </w:rPr>
        <w:t xml:space="preserve">                              202</w:t>
      </w:r>
      <w:r>
        <w:rPr>
          <w:rFonts w:hint="default" w:ascii="Times New Roman" w:hAnsi="Times New Roman" w:cs="Times New Roman"/>
          <w:kern w:val="0"/>
          <w:sz w:val="32"/>
          <w:szCs w:val="32"/>
          <w:lang w:val="en-US" w:eastAsia="zh-CN"/>
        </w:rPr>
        <w:t>3</w:t>
      </w:r>
      <w:r>
        <w:rPr>
          <w:rFonts w:hint="default" w:ascii="Times New Roman" w:hAnsi="Times New Roman" w:cs="Times New Roman"/>
          <w:kern w:val="0"/>
          <w:sz w:val="32"/>
          <w:szCs w:val="32"/>
        </w:rPr>
        <w:t>年</w:t>
      </w:r>
      <w:r>
        <w:rPr>
          <w:rFonts w:hint="default" w:ascii="Times New Roman" w:hAnsi="Times New Roman" w:cs="Times New Roman"/>
          <w:kern w:val="0"/>
          <w:sz w:val="32"/>
          <w:szCs w:val="32"/>
          <w:lang w:val="en-US" w:eastAsia="zh-CN"/>
        </w:rPr>
        <w:t>0</w:t>
      </w:r>
      <w:r>
        <w:rPr>
          <w:rFonts w:hint="eastAsia" w:cs="Times New Roman"/>
          <w:kern w:val="0"/>
          <w:sz w:val="32"/>
          <w:szCs w:val="32"/>
          <w:lang w:val="en-US" w:eastAsia="zh-CN"/>
        </w:rPr>
        <w:t>7</w:t>
      </w:r>
      <w:r>
        <w:rPr>
          <w:rFonts w:hint="default" w:ascii="Times New Roman" w:hAnsi="Times New Roman" w:cs="Times New Roman"/>
          <w:kern w:val="0"/>
          <w:sz w:val="32"/>
          <w:szCs w:val="32"/>
        </w:rPr>
        <w:t>月</w:t>
      </w:r>
      <w:r>
        <w:rPr>
          <w:rFonts w:hint="eastAsia" w:cs="Times New Roman"/>
          <w:kern w:val="0"/>
          <w:sz w:val="32"/>
          <w:szCs w:val="32"/>
          <w:lang w:val="en-US" w:eastAsia="zh-CN"/>
        </w:rPr>
        <w:t>0</w:t>
      </w:r>
      <w:r>
        <w:rPr>
          <w:rFonts w:hint="default" w:ascii="Times New Roman" w:hAnsi="Times New Roman" w:cs="Times New Roman"/>
          <w:kern w:val="0"/>
          <w:sz w:val="32"/>
          <w:szCs w:val="32"/>
          <w:lang w:val="en-US" w:eastAsia="zh-CN"/>
        </w:rPr>
        <w:t>9</w:t>
      </w:r>
      <w:r>
        <w:rPr>
          <w:rFonts w:hint="default" w:ascii="Times New Roman" w:hAnsi="Times New Roman" w:cs="Times New Roman"/>
          <w:kern w:val="0"/>
          <w:sz w:val="32"/>
          <w:szCs w:val="32"/>
        </w:rPr>
        <w:t>日</w:t>
      </w:r>
    </w:p>
    <w:p>
      <w:pPr>
        <w:tabs>
          <w:tab w:val="left" w:pos="5811"/>
        </w:tabs>
        <w:rPr>
          <w:rFonts w:hint="default" w:ascii="Times New Roman" w:hAnsi="Times New Roman" w:cs="Times New Roman"/>
          <w:kern w:val="0"/>
          <w:sz w:val="32"/>
          <w:szCs w:val="32"/>
        </w:rPr>
      </w:pPr>
      <w:r>
        <w:rPr>
          <w:rFonts w:hint="default" w:ascii="Times New Roman" w:hAnsi="Times New Roman" w:cs="Times New Roman"/>
          <w:kern w:val="0"/>
          <w:sz w:val="32"/>
          <w:szCs w:val="32"/>
        </w:rPr>
        <w:br w:type="page"/>
      </w:r>
      <w:r>
        <w:rPr>
          <w:rFonts w:hint="default" w:ascii="Times New Roman" w:hAnsi="Times New Roman" w:cs="Times New Roman"/>
          <w:kern w:val="0"/>
          <w:sz w:val="32"/>
          <w:szCs w:val="32"/>
        </w:rPr>
        <w:tab/>
      </w:r>
    </w:p>
    <w:p>
      <w:pPr>
        <w:widowControl/>
        <w:spacing w:before="100" w:beforeAutospacing="1" w:after="100" w:afterAutospacing="1" w:line="425" w:lineRule="auto"/>
        <w:ind w:firstLine="880" w:firstLineChars="200"/>
        <w:jc w:val="center"/>
        <w:rPr>
          <w:rFonts w:hint="default" w:ascii="Times New Roman" w:hAnsi="Times New Roman" w:eastAsia="微软雅黑" w:cs="Times New Roman"/>
          <w:sz w:val="18"/>
          <w:szCs w:val="18"/>
        </w:rPr>
      </w:pPr>
      <w:r>
        <w:rPr>
          <w:rFonts w:hint="default" w:ascii="Times New Roman" w:hAnsi="Times New Roman" w:eastAsia="方正小标宋简体" w:cs="Times New Roman"/>
          <w:sz w:val="44"/>
          <w:szCs w:val="44"/>
        </w:rPr>
        <w:t>规范安全生产中介行为的九条禁令</w:t>
      </w:r>
    </w:p>
    <w:p>
      <w:pPr>
        <w:pStyle w:val="16"/>
        <w:spacing w:line="580" w:lineRule="exact"/>
        <w:ind w:firstLine="640" w:firstLineChars="200"/>
        <w:rPr>
          <w:rFonts w:hint="default" w:ascii="Times New Roman" w:hAnsi="Times New Roman" w:cs="Times New Roman"/>
          <w:sz w:val="18"/>
          <w:szCs w:val="18"/>
        </w:rPr>
      </w:pPr>
      <w:r>
        <w:rPr>
          <w:rFonts w:hint="default" w:ascii="Times New Roman" w:hAnsi="Times New Roman" w:cs="Times New Roman"/>
          <w:sz w:val="32"/>
          <w:szCs w:val="32"/>
        </w:rPr>
        <w:t xml:space="preserve">一、禁止从事安全生产和职业卫生服务的中介服务机构（以下统称中介机构）租借资质证书、非法挂靠、转包服务项目的行为； </w:t>
      </w:r>
    </w:p>
    <w:p>
      <w:pPr>
        <w:pStyle w:val="16"/>
        <w:spacing w:line="580" w:lineRule="exact"/>
        <w:ind w:firstLine="640" w:firstLineChars="200"/>
        <w:rPr>
          <w:rFonts w:hint="default" w:ascii="Times New Roman" w:hAnsi="Times New Roman" w:cs="Times New Roman"/>
          <w:sz w:val="18"/>
          <w:szCs w:val="18"/>
        </w:rPr>
      </w:pPr>
      <w:r>
        <w:rPr>
          <w:rFonts w:hint="default" w:ascii="Times New Roman" w:hAnsi="Times New Roman" w:cs="Times New Roman"/>
          <w:sz w:val="32"/>
          <w:szCs w:val="32"/>
        </w:rPr>
        <w:t>二、禁止中介机构假借、冒用他人名义要求服务对象接受有偿服务，或者恶意低价竞争以及采取串标、围标等不正当竞争手段，扰乱技术服务市场秩序的行为；</w:t>
      </w:r>
      <w:r>
        <w:rPr>
          <w:rFonts w:hint="default" w:ascii="Times New Roman" w:hAnsi="Times New Roman" w:cs="Times New Roman"/>
          <w:sz w:val="18"/>
          <w:szCs w:val="18"/>
        </w:rPr>
        <w:t xml:space="preserve"> </w:t>
      </w:r>
    </w:p>
    <w:p>
      <w:pPr>
        <w:pStyle w:val="16"/>
        <w:spacing w:line="580" w:lineRule="exact"/>
        <w:ind w:firstLine="640" w:firstLineChars="200"/>
        <w:rPr>
          <w:rFonts w:hint="default" w:ascii="Times New Roman" w:hAnsi="Times New Roman" w:cs="Times New Roman"/>
          <w:sz w:val="18"/>
          <w:szCs w:val="18"/>
        </w:rPr>
      </w:pPr>
      <w:r>
        <w:rPr>
          <w:rFonts w:hint="default" w:ascii="Times New Roman" w:hAnsi="Times New Roman" w:cs="Times New Roman"/>
          <w:sz w:val="32"/>
          <w:szCs w:val="32"/>
        </w:rPr>
        <w:t>三、禁止中介机构出具虚假或漏项、缺项技术报告的行为；</w:t>
      </w:r>
      <w:r>
        <w:rPr>
          <w:rFonts w:hint="default" w:ascii="Times New Roman" w:hAnsi="Times New Roman" w:cs="Times New Roman"/>
          <w:sz w:val="18"/>
          <w:szCs w:val="18"/>
        </w:rPr>
        <w:t xml:space="preserve"> </w:t>
      </w:r>
    </w:p>
    <w:p>
      <w:pPr>
        <w:pStyle w:val="16"/>
        <w:spacing w:line="580" w:lineRule="exact"/>
        <w:ind w:firstLine="640" w:firstLineChars="200"/>
        <w:rPr>
          <w:rFonts w:hint="default" w:ascii="Times New Roman" w:hAnsi="Times New Roman" w:cs="Times New Roman"/>
          <w:sz w:val="18"/>
          <w:szCs w:val="18"/>
        </w:rPr>
      </w:pPr>
      <w:r>
        <w:rPr>
          <w:rFonts w:hint="default" w:ascii="Times New Roman" w:hAnsi="Times New Roman" w:cs="Times New Roman"/>
          <w:sz w:val="32"/>
          <w:szCs w:val="32"/>
        </w:rPr>
        <w:t xml:space="preserve">四、禁止中介机构出租、出借资格证书、在报告上冒用他人签名的行为； </w:t>
      </w:r>
    </w:p>
    <w:p>
      <w:pPr>
        <w:pStyle w:val="16"/>
        <w:spacing w:line="580" w:lineRule="exact"/>
        <w:ind w:firstLine="640" w:firstLineChars="200"/>
        <w:rPr>
          <w:rFonts w:hint="default" w:ascii="Times New Roman" w:hAnsi="Times New Roman" w:cs="Times New Roman"/>
          <w:sz w:val="18"/>
          <w:szCs w:val="18"/>
        </w:rPr>
      </w:pPr>
      <w:r>
        <w:rPr>
          <w:rFonts w:hint="default" w:ascii="Times New Roman" w:hAnsi="Times New Roman" w:cs="Times New Roman"/>
          <w:sz w:val="32"/>
          <w:szCs w:val="32"/>
        </w:rPr>
        <w:t>五、禁止中介机构有应到而不到现场开展技术服务的行为；</w:t>
      </w:r>
      <w:r>
        <w:rPr>
          <w:rFonts w:hint="default" w:ascii="Times New Roman" w:hAnsi="Times New Roman" w:cs="Times New Roman"/>
          <w:sz w:val="18"/>
          <w:szCs w:val="18"/>
        </w:rPr>
        <w:t xml:space="preserve"> </w:t>
      </w:r>
    </w:p>
    <w:p>
      <w:pPr>
        <w:pStyle w:val="16"/>
        <w:spacing w:line="580" w:lineRule="exact"/>
        <w:ind w:firstLine="640" w:firstLineChars="200"/>
        <w:rPr>
          <w:rFonts w:hint="default" w:ascii="Times New Roman" w:hAnsi="Times New Roman" w:cs="Times New Roman"/>
          <w:sz w:val="18"/>
          <w:szCs w:val="18"/>
        </w:rPr>
      </w:pPr>
      <w:r>
        <w:rPr>
          <w:rFonts w:hint="default" w:ascii="Times New Roman" w:hAnsi="Times New Roman" w:cs="Times New Roman"/>
          <w:sz w:val="32"/>
          <w:szCs w:val="32"/>
        </w:rPr>
        <w:t>六、禁止安全生产监管部门及其工作人员要求生产经营单位接受指定的中介机构开展技术服务的行为；</w:t>
      </w:r>
      <w:r>
        <w:rPr>
          <w:rFonts w:hint="default" w:ascii="Times New Roman" w:hAnsi="Times New Roman" w:cs="Times New Roman"/>
          <w:sz w:val="18"/>
          <w:szCs w:val="18"/>
        </w:rPr>
        <w:t xml:space="preserve"> </w:t>
      </w:r>
    </w:p>
    <w:p>
      <w:pPr>
        <w:pStyle w:val="16"/>
        <w:spacing w:line="580" w:lineRule="exact"/>
        <w:ind w:firstLine="640" w:firstLineChars="200"/>
        <w:rPr>
          <w:rFonts w:hint="default" w:ascii="Times New Roman" w:hAnsi="Times New Roman" w:cs="Times New Roman"/>
          <w:sz w:val="18"/>
          <w:szCs w:val="18"/>
        </w:rPr>
      </w:pPr>
      <w:r>
        <w:rPr>
          <w:rFonts w:hint="default" w:ascii="Times New Roman" w:hAnsi="Times New Roman" w:cs="Times New Roman"/>
          <w:sz w:val="32"/>
          <w:szCs w:val="32"/>
        </w:rPr>
        <w:t>七、禁止安全生产监管部门及其工作人员没有法律依据组织由生产经营单位或机构支付费用的行政性评审的行为；</w:t>
      </w:r>
      <w:r>
        <w:rPr>
          <w:rFonts w:hint="default" w:ascii="Times New Roman" w:hAnsi="Times New Roman" w:cs="Times New Roman"/>
          <w:sz w:val="18"/>
          <w:szCs w:val="18"/>
        </w:rPr>
        <w:t xml:space="preserve"> </w:t>
      </w:r>
    </w:p>
    <w:p>
      <w:pPr>
        <w:pStyle w:val="16"/>
        <w:spacing w:line="580" w:lineRule="exact"/>
        <w:ind w:firstLine="640" w:firstLineChars="200"/>
        <w:rPr>
          <w:rFonts w:hint="default" w:ascii="Times New Roman" w:hAnsi="Times New Roman" w:cs="Times New Roman"/>
          <w:sz w:val="18"/>
          <w:szCs w:val="18"/>
        </w:rPr>
      </w:pPr>
      <w:r>
        <w:rPr>
          <w:rFonts w:hint="default" w:ascii="Times New Roman" w:hAnsi="Times New Roman" w:cs="Times New Roman"/>
          <w:sz w:val="32"/>
          <w:szCs w:val="32"/>
        </w:rPr>
        <w:t>八、禁止安全生产监管部门及其工作人员干预市场定价，违规擅自出台技术服务收费标准的行为；</w:t>
      </w:r>
      <w:r>
        <w:rPr>
          <w:rFonts w:hint="default" w:ascii="Times New Roman" w:hAnsi="Times New Roman" w:cs="Times New Roman"/>
          <w:sz w:val="18"/>
          <w:szCs w:val="18"/>
        </w:rPr>
        <w:t xml:space="preserve"> </w:t>
      </w:r>
    </w:p>
    <w:p>
      <w:pPr>
        <w:spacing w:line="58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九、禁止安全生产监管部门及其工作人员参与、擅自干预中介机构从业活动，或者有获取不正当利益的行为。</w:t>
      </w:r>
    </w:p>
    <w:p>
      <w:pPr>
        <w:rPr>
          <w:rFonts w:hint="default" w:ascii="Times New Roman" w:hAnsi="Times New Roman" w:cs="Times New Roman"/>
          <w:sz w:val="32"/>
          <w:szCs w:val="32"/>
        </w:rPr>
      </w:pPr>
      <w:r>
        <w:rPr>
          <w:rFonts w:hint="default" w:ascii="Times New Roman" w:hAnsi="Times New Roman" w:cs="Times New Roman"/>
          <w:sz w:val="32"/>
          <w:szCs w:val="32"/>
        </w:rPr>
        <w:br w:type="page"/>
      </w:r>
    </w:p>
    <w:p>
      <w:pPr>
        <w:ind w:firstLine="643" w:firstLineChars="200"/>
        <w:jc w:val="center"/>
        <w:rPr>
          <w:rFonts w:hint="default" w:ascii="Times New Roman" w:hAnsi="Times New Roman" w:cs="Times New Roman"/>
          <w:b/>
          <w:bCs/>
          <w:sz w:val="32"/>
          <w:szCs w:val="32"/>
        </w:rPr>
      </w:pPr>
      <w:bookmarkStart w:id="0" w:name="_Toc28951"/>
      <w:bookmarkStart w:id="1" w:name="_Toc3776"/>
      <w:bookmarkStart w:id="2" w:name="_Toc19144"/>
      <w:r>
        <w:rPr>
          <w:rFonts w:hint="default" w:ascii="Times New Roman" w:hAnsi="Times New Roman" w:cs="Times New Roman"/>
          <w:b/>
          <w:bCs/>
          <w:sz w:val="32"/>
          <w:szCs w:val="32"/>
        </w:rPr>
        <w:t>评  价  人  员</w:t>
      </w:r>
      <w:bookmarkEnd w:id="0"/>
      <w:bookmarkEnd w:id="1"/>
      <w:bookmarkEnd w:id="2"/>
    </w:p>
    <w:p>
      <w:pPr>
        <w:jc w:val="center"/>
        <w:rPr>
          <w:rFonts w:hint="default" w:ascii="Times New Roman" w:hAnsi="Times New Roman" w:cs="Times New Roman"/>
          <w:b/>
          <w:bCs/>
          <w:sz w:val="32"/>
          <w:szCs w:val="32"/>
        </w:rPr>
      </w:pPr>
    </w:p>
    <w:tbl>
      <w:tblPr>
        <w:tblStyle w:val="25"/>
        <w:tblW w:w="9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7"/>
        <w:gridCol w:w="1314"/>
        <w:gridCol w:w="2880"/>
        <w:gridCol w:w="1620"/>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noWrap w:val="0"/>
            <w:vAlign w:val="center"/>
          </w:tcPr>
          <w:p>
            <w:pPr>
              <w:jc w:val="center"/>
              <w:rPr>
                <w:rFonts w:hint="default" w:ascii="Times New Roman" w:hAnsi="Times New Roman" w:eastAsia="宋体" w:cs="Times New Roman"/>
                <w:kern w:val="0"/>
                <w:sz w:val="24"/>
                <w:szCs w:val="24"/>
              </w:rPr>
            </w:pPr>
          </w:p>
        </w:tc>
        <w:tc>
          <w:tcPr>
            <w:tcW w:w="1314" w:type="dxa"/>
            <w:noWrap w:val="0"/>
            <w:vAlign w:val="center"/>
          </w:tcPr>
          <w:p>
            <w:pPr>
              <w:spacing w:line="240" w:lineRule="auto"/>
              <w:jc w:val="center"/>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姓  名</w:t>
            </w:r>
          </w:p>
        </w:tc>
        <w:tc>
          <w:tcPr>
            <w:tcW w:w="2880" w:type="dxa"/>
            <w:noWrap w:val="0"/>
            <w:vAlign w:val="center"/>
          </w:tcPr>
          <w:p>
            <w:pPr>
              <w:spacing w:line="240" w:lineRule="auto"/>
              <w:jc w:val="center"/>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职业资格证书编号</w:t>
            </w:r>
          </w:p>
        </w:tc>
        <w:tc>
          <w:tcPr>
            <w:tcW w:w="1620" w:type="dxa"/>
            <w:noWrap w:val="0"/>
            <w:vAlign w:val="center"/>
          </w:tcPr>
          <w:p>
            <w:pPr>
              <w:spacing w:line="400" w:lineRule="exact"/>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从业信息</w:t>
            </w:r>
          </w:p>
          <w:p>
            <w:pPr>
              <w:spacing w:line="400" w:lineRule="exact"/>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识别卡编号</w:t>
            </w:r>
          </w:p>
        </w:tc>
        <w:tc>
          <w:tcPr>
            <w:tcW w:w="1541" w:type="dxa"/>
            <w:noWrap w:val="0"/>
            <w:vAlign w:val="center"/>
          </w:tcPr>
          <w:p>
            <w:pPr>
              <w:spacing w:line="400" w:lineRule="exact"/>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签    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noWrap w:val="0"/>
            <w:vAlign w:val="center"/>
          </w:tcPr>
          <w:p>
            <w:pPr>
              <w:spacing w:line="240" w:lineRule="auto"/>
              <w:jc w:val="center"/>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项目负责人</w:t>
            </w:r>
          </w:p>
        </w:tc>
        <w:tc>
          <w:tcPr>
            <w:tcW w:w="1314"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檀廷斌</w:t>
            </w:r>
          </w:p>
        </w:tc>
        <w:tc>
          <w:tcPr>
            <w:tcW w:w="288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1600000000200717</w:t>
            </w:r>
          </w:p>
        </w:tc>
        <w:tc>
          <w:tcPr>
            <w:tcW w:w="162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029648</w:t>
            </w:r>
          </w:p>
        </w:tc>
        <w:tc>
          <w:tcPr>
            <w:tcW w:w="1541" w:type="dxa"/>
            <w:noWrap w:val="0"/>
            <w:vAlign w:val="center"/>
          </w:tcPr>
          <w:p>
            <w:pPr>
              <w:jc w:val="center"/>
              <w:rPr>
                <w:rFonts w:hint="default" w:ascii="Times New Roman" w:hAnsi="Times New Roman"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vMerge w:val="restart"/>
            <w:noWrap w:val="0"/>
            <w:vAlign w:val="center"/>
          </w:tcPr>
          <w:p>
            <w:pPr>
              <w:spacing w:line="240" w:lineRule="auto"/>
              <w:jc w:val="center"/>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项目组成员</w:t>
            </w:r>
          </w:p>
        </w:tc>
        <w:tc>
          <w:tcPr>
            <w:tcW w:w="1314"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许玉才</w:t>
            </w:r>
          </w:p>
        </w:tc>
        <w:tc>
          <w:tcPr>
            <w:tcW w:w="288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1800000000200658</w:t>
            </w:r>
          </w:p>
        </w:tc>
        <w:tc>
          <w:tcPr>
            <w:tcW w:w="162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033460</w:t>
            </w:r>
          </w:p>
        </w:tc>
        <w:tc>
          <w:tcPr>
            <w:tcW w:w="1541" w:type="dxa"/>
            <w:noWrap w:val="0"/>
            <w:vAlign w:val="center"/>
          </w:tcPr>
          <w:p>
            <w:pPr>
              <w:jc w:val="center"/>
              <w:rPr>
                <w:rFonts w:hint="default" w:ascii="Times New Roman" w:hAnsi="Times New Roman"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vMerge w:val="continue"/>
            <w:noWrap w:val="0"/>
            <w:vAlign w:val="center"/>
          </w:tcPr>
          <w:p>
            <w:pPr>
              <w:spacing w:line="240" w:lineRule="auto"/>
              <w:jc w:val="center"/>
              <w:rPr>
                <w:rFonts w:hint="default" w:ascii="Times New Roman" w:hAnsi="Times New Roman" w:eastAsia="宋体" w:cs="Times New Roman"/>
                <w:color w:val="000000" w:themeColor="text1"/>
                <w:sz w:val="24"/>
                <w:szCs w:val="24"/>
                <w:lang w:val="en-US" w:eastAsia="zh-CN"/>
              </w:rPr>
            </w:pPr>
          </w:p>
        </w:tc>
        <w:tc>
          <w:tcPr>
            <w:tcW w:w="1314" w:type="dxa"/>
            <w:noWrap w:val="0"/>
            <w:vAlign w:val="center"/>
          </w:tcPr>
          <w:p>
            <w:pPr>
              <w:spacing w:line="240" w:lineRule="auto"/>
              <w:jc w:val="center"/>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t>罗沙浪</w:t>
            </w:r>
          </w:p>
        </w:tc>
        <w:tc>
          <w:tcPr>
            <w:tcW w:w="288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S011035000110193001260</w:t>
            </w:r>
          </w:p>
        </w:tc>
        <w:tc>
          <w:tcPr>
            <w:tcW w:w="162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036829</w:t>
            </w:r>
          </w:p>
        </w:tc>
        <w:tc>
          <w:tcPr>
            <w:tcW w:w="1541" w:type="dxa"/>
            <w:noWrap w:val="0"/>
            <w:vAlign w:val="center"/>
          </w:tcPr>
          <w:p>
            <w:pPr>
              <w:jc w:val="center"/>
              <w:rPr>
                <w:rFonts w:hint="default" w:ascii="Times New Roman" w:hAnsi="Times New Roman"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vMerge w:val="continue"/>
            <w:noWrap w:val="0"/>
            <w:vAlign w:val="center"/>
          </w:tcPr>
          <w:p>
            <w:pPr>
              <w:spacing w:line="240" w:lineRule="auto"/>
              <w:jc w:val="center"/>
              <w:rPr>
                <w:rFonts w:hint="default" w:ascii="Times New Roman" w:hAnsi="Times New Roman" w:eastAsia="宋体" w:cs="Times New Roman"/>
                <w:color w:val="000000" w:themeColor="text1"/>
                <w:sz w:val="24"/>
                <w:szCs w:val="24"/>
                <w:lang w:val="en-US" w:eastAsia="zh-CN"/>
              </w:rPr>
            </w:pPr>
          </w:p>
        </w:tc>
        <w:tc>
          <w:tcPr>
            <w:tcW w:w="1314" w:type="dxa"/>
            <w:noWrap w:val="0"/>
            <w:vAlign w:val="center"/>
          </w:tcPr>
          <w:p>
            <w:pPr>
              <w:spacing w:line="240" w:lineRule="auto"/>
              <w:jc w:val="center"/>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郑强</w:t>
            </w:r>
          </w:p>
        </w:tc>
        <w:tc>
          <w:tcPr>
            <w:tcW w:w="288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0800000000</w:t>
            </w:r>
            <w:r>
              <w:rPr>
                <w:rFonts w:hint="default" w:ascii="Times New Roman" w:hAnsi="Times New Roman" w:eastAsia="宋体" w:cs="Times New Roman"/>
                <w:color w:val="000000" w:themeColor="text1"/>
                <w:sz w:val="24"/>
                <w:szCs w:val="24"/>
                <w:lang w:val="en-US" w:eastAsia="zh-CN"/>
              </w:rPr>
              <w:t>101605</w:t>
            </w:r>
          </w:p>
        </w:tc>
        <w:tc>
          <w:tcPr>
            <w:tcW w:w="162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val="en-US" w:eastAsia="zh-CN"/>
              </w:rPr>
              <w:t>001851</w:t>
            </w:r>
          </w:p>
        </w:tc>
        <w:tc>
          <w:tcPr>
            <w:tcW w:w="1541" w:type="dxa"/>
            <w:noWrap w:val="0"/>
            <w:vAlign w:val="center"/>
          </w:tcPr>
          <w:p>
            <w:pPr>
              <w:jc w:val="center"/>
              <w:rPr>
                <w:rFonts w:hint="default" w:ascii="Times New Roman" w:hAnsi="Times New Roman"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vMerge w:val="continue"/>
            <w:noWrap w:val="0"/>
            <w:vAlign w:val="center"/>
          </w:tcPr>
          <w:p>
            <w:pPr>
              <w:spacing w:line="240" w:lineRule="auto"/>
              <w:jc w:val="center"/>
              <w:rPr>
                <w:rFonts w:hint="default" w:ascii="Times New Roman" w:hAnsi="Times New Roman" w:eastAsia="宋体" w:cs="Times New Roman"/>
                <w:color w:val="000000" w:themeColor="text1"/>
                <w:sz w:val="24"/>
                <w:szCs w:val="24"/>
                <w:lang w:val="en-US" w:eastAsia="zh-CN"/>
              </w:rPr>
            </w:pPr>
          </w:p>
        </w:tc>
        <w:tc>
          <w:tcPr>
            <w:tcW w:w="1314"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王  波</w:t>
            </w:r>
          </w:p>
        </w:tc>
        <w:tc>
          <w:tcPr>
            <w:tcW w:w="288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S011035000110202001263</w:t>
            </w:r>
          </w:p>
        </w:tc>
        <w:tc>
          <w:tcPr>
            <w:tcW w:w="162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040122</w:t>
            </w:r>
          </w:p>
        </w:tc>
        <w:tc>
          <w:tcPr>
            <w:tcW w:w="1541" w:type="dxa"/>
            <w:noWrap w:val="0"/>
            <w:vAlign w:val="center"/>
          </w:tcPr>
          <w:p>
            <w:pPr>
              <w:jc w:val="center"/>
              <w:rPr>
                <w:rFonts w:hint="default" w:ascii="Times New Roman" w:hAnsi="Times New Roman"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vMerge w:val="continue"/>
            <w:noWrap w:val="0"/>
            <w:vAlign w:val="center"/>
          </w:tcPr>
          <w:p>
            <w:pPr>
              <w:spacing w:line="240" w:lineRule="auto"/>
              <w:jc w:val="center"/>
              <w:rPr>
                <w:rFonts w:hint="default" w:ascii="Times New Roman" w:hAnsi="Times New Roman" w:eastAsia="宋体" w:cs="Times New Roman"/>
                <w:color w:val="000000" w:themeColor="text1"/>
                <w:sz w:val="24"/>
                <w:szCs w:val="24"/>
                <w:lang w:val="en-US" w:eastAsia="zh-CN"/>
              </w:rPr>
            </w:pPr>
          </w:p>
        </w:tc>
        <w:tc>
          <w:tcPr>
            <w:tcW w:w="1314"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谢寒梅</w:t>
            </w:r>
          </w:p>
        </w:tc>
        <w:tc>
          <w:tcPr>
            <w:tcW w:w="288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S011035000110192001584</w:t>
            </w:r>
          </w:p>
        </w:tc>
        <w:tc>
          <w:tcPr>
            <w:tcW w:w="162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027089</w:t>
            </w:r>
          </w:p>
        </w:tc>
        <w:tc>
          <w:tcPr>
            <w:tcW w:w="1541" w:type="dxa"/>
            <w:noWrap w:val="0"/>
            <w:vAlign w:val="center"/>
          </w:tcPr>
          <w:p>
            <w:pPr>
              <w:jc w:val="center"/>
              <w:rPr>
                <w:rFonts w:hint="default" w:ascii="Times New Roman" w:hAnsi="Times New Roman"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vMerge w:val="continue"/>
            <w:noWrap w:val="0"/>
            <w:vAlign w:val="center"/>
          </w:tcPr>
          <w:p>
            <w:pPr>
              <w:spacing w:line="240" w:lineRule="auto"/>
              <w:jc w:val="center"/>
              <w:rPr>
                <w:rFonts w:hint="default" w:ascii="Times New Roman" w:hAnsi="Times New Roman" w:eastAsia="宋体" w:cs="Times New Roman"/>
                <w:color w:val="000000" w:themeColor="text1"/>
                <w:sz w:val="24"/>
                <w:szCs w:val="24"/>
                <w:lang w:val="en-US" w:eastAsia="zh-CN"/>
              </w:rPr>
            </w:pPr>
          </w:p>
        </w:tc>
        <w:tc>
          <w:tcPr>
            <w:tcW w:w="1314"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苏睿劼</w:t>
            </w:r>
          </w:p>
        </w:tc>
        <w:tc>
          <w:tcPr>
            <w:tcW w:w="288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1700000000301009</w:t>
            </w:r>
          </w:p>
        </w:tc>
        <w:tc>
          <w:tcPr>
            <w:tcW w:w="162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030858</w:t>
            </w:r>
          </w:p>
        </w:tc>
        <w:tc>
          <w:tcPr>
            <w:tcW w:w="1541" w:type="dxa"/>
            <w:noWrap w:val="0"/>
            <w:vAlign w:val="center"/>
          </w:tcPr>
          <w:p>
            <w:pPr>
              <w:jc w:val="center"/>
              <w:rPr>
                <w:rFonts w:hint="default" w:ascii="Times New Roman" w:hAnsi="Times New Roman"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noWrap w:val="0"/>
            <w:vAlign w:val="center"/>
          </w:tcPr>
          <w:p>
            <w:pPr>
              <w:spacing w:line="240" w:lineRule="auto"/>
              <w:jc w:val="center"/>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报告编制人</w:t>
            </w:r>
          </w:p>
        </w:tc>
        <w:tc>
          <w:tcPr>
            <w:tcW w:w="1314"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檀廷斌</w:t>
            </w:r>
          </w:p>
        </w:tc>
        <w:tc>
          <w:tcPr>
            <w:tcW w:w="288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1600000000200717</w:t>
            </w:r>
          </w:p>
        </w:tc>
        <w:tc>
          <w:tcPr>
            <w:tcW w:w="162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029648</w:t>
            </w:r>
          </w:p>
        </w:tc>
        <w:tc>
          <w:tcPr>
            <w:tcW w:w="1541" w:type="dxa"/>
            <w:noWrap w:val="0"/>
            <w:vAlign w:val="center"/>
          </w:tcPr>
          <w:p>
            <w:pPr>
              <w:jc w:val="center"/>
              <w:rPr>
                <w:rFonts w:hint="default" w:ascii="Times New Roman" w:hAnsi="Times New Roman"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noWrap w:val="0"/>
            <w:vAlign w:val="center"/>
          </w:tcPr>
          <w:p>
            <w:pPr>
              <w:spacing w:line="240" w:lineRule="auto"/>
              <w:jc w:val="center"/>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报告审核人</w:t>
            </w:r>
          </w:p>
        </w:tc>
        <w:tc>
          <w:tcPr>
            <w:tcW w:w="1314"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黄香港</w:t>
            </w:r>
          </w:p>
        </w:tc>
        <w:tc>
          <w:tcPr>
            <w:tcW w:w="288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S011035000110191000617</w:t>
            </w:r>
          </w:p>
        </w:tc>
        <w:tc>
          <w:tcPr>
            <w:tcW w:w="162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024436</w:t>
            </w:r>
          </w:p>
        </w:tc>
        <w:tc>
          <w:tcPr>
            <w:tcW w:w="1541" w:type="dxa"/>
            <w:noWrap w:val="0"/>
            <w:vAlign w:val="center"/>
          </w:tcPr>
          <w:p>
            <w:pPr>
              <w:jc w:val="center"/>
              <w:rPr>
                <w:rFonts w:hint="default" w:ascii="Times New Roman" w:hAnsi="Times New Roman"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137" w:type="dxa"/>
            <w:noWrap w:val="0"/>
            <w:vAlign w:val="center"/>
          </w:tcPr>
          <w:p>
            <w:pPr>
              <w:spacing w:line="240" w:lineRule="auto"/>
              <w:jc w:val="center"/>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过程控制负责人</w:t>
            </w:r>
          </w:p>
        </w:tc>
        <w:tc>
          <w:tcPr>
            <w:tcW w:w="1314"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王海波</w:t>
            </w:r>
          </w:p>
        </w:tc>
        <w:tc>
          <w:tcPr>
            <w:tcW w:w="288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1800000000200651</w:t>
            </w:r>
          </w:p>
        </w:tc>
        <w:tc>
          <w:tcPr>
            <w:tcW w:w="162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032727</w:t>
            </w:r>
          </w:p>
        </w:tc>
        <w:tc>
          <w:tcPr>
            <w:tcW w:w="1541" w:type="dxa"/>
            <w:noWrap w:val="0"/>
            <w:vAlign w:val="center"/>
          </w:tcPr>
          <w:p>
            <w:pPr>
              <w:jc w:val="center"/>
              <w:rPr>
                <w:rFonts w:hint="default" w:ascii="Times New Roman" w:hAnsi="Times New Roman" w:eastAsia="宋体"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2137" w:type="dxa"/>
            <w:noWrap w:val="0"/>
            <w:vAlign w:val="center"/>
          </w:tcPr>
          <w:p>
            <w:pPr>
              <w:spacing w:line="240" w:lineRule="auto"/>
              <w:jc w:val="center"/>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技术负责人</w:t>
            </w:r>
          </w:p>
        </w:tc>
        <w:tc>
          <w:tcPr>
            <w:tcW w:w="1314"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周红波</w:t>
            </w:r>
          </w:p>
        </w:tc>
        <w:tc>
          <w:tcPr>
            <w:tcW w:w="288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1700000000100121</w:t>
            </w:r>
          </w:p>
        </w:tc>
        <w:tc>
          <w:tcPr>
            <w:tcW w:w="1620" w:type="dxa"/>
            <w:noWrap w:val="0"/>
            <w:vAlign w:val="center"/>
          </w:tcPr>
          <w:p>
            <w:pPr>
              <w:spacing w:line="240" w:lineRule="auto"/>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020702</w:t>
            </w:r>
          </w:p>
        </w:tc>
        <w:tc>
          <w:tcPr>
            <w:tcW w:w="1541" w:type="dxa"/>
            <w:noWrap w:val="0"/>
            <w:vAlign w:val="center"/>
          </w:tcPr>
          <w:p>
            <w:pPr>
              <w:jc w:val="center"/>
              <w:rPr>
                <w:rFonts w:hint="default" w:ascii="Times New Roman" w:hAnsi="Times New Roman" w:eastAsia="宋体" w:cs="Times New Roman"/>
                <w:kern w:val="0"/>
                <w:sz w:val="24"/>
                <w:szCs w:val="24"/>
              </w:rPr>
            </w:pPr>
          </w:p>
        </w:tc>
      </w:tr>
    </w:tbl>
    <w:p>
      <w:pPr>
        <w:jc w:val="center"/>
        <w:rPr>
          <w:rFonts w:hint="default" w:ascii="Times New Roman" w:hAnsi="Times New Roman" w:cs="Times New Roman"/>
          <w:b/>
          <w:bCs/>
          <w:sz w:val="24"/>
          <w:szCs w:val="24"/>
        </w:rPr>
      </w:pPr>
    </w:p>
    <w:p>
      <w:pPr>
        <w:ind w:firstLine="643" w:firstLineChars="200"/>
        <w:jc w:val="center"/>
        <w:rPr>
          <w:rFonts w:hint="default" w:ascii="Times New Roman" w:hAnsi="Times New Roman" w:cs="Times New Roman"/>
          <w:b/>
          <w:bCs/>
          <w:sz w:val="32"/>
          <w:szCs w:val="32"/>
        </w:rPr>
      </w:pPr>
      <w:bookmarkStart w:id="3" w:name="_Toc14740"/>
      <w:bookmarkStart w:id="4" w:name="_Toc5026"/>
      <w:bookmarkStart w:id="5" w:name="_Toc16426"/>
      <w:r>
        <w:rPr>
          <w:rFonts w:hint="default" w:ascii="Times New Roman" w:hAnsi="Times New Roman" w:cs="Times New Roman"/>
          <w:b/>
          <w:bCs/>
          <w:sz w:val="32"/>
          <w:szCs w:val="32"/>
        </w:rPr>
        <w:t>参  与  人  员</w:t>
      </w:r>
      <w:bookmarkEnd w:id="3"/>
      <w:bookmarkEnd w:id="4"/>
      <w:bookmarkEnd w:id="5"/>
    </w:p>
    <w:tbl>
      <w:tblPr>
        <w:tblStyle w:val="25"/>
        <w:tblW w:w="911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8"/>
        <w:gridCol w:w="3039"/>
        <w:gridCol w:w="3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8" w:type="dxa"/>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姓名</w:t>
            </w:r>
          </w:p>
        </w:tc>
        <w:tc>
          <w:tcPr>
            <w:tcW w:w="3039" w:type="dxa"/>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专业</w:t>
            </w:r>
          </w:p>
        </w:tc>
        <w:tc>
          <w:tcPr>
            <w:tcW w:w="3039" w:type="dxa"/>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李家伟</w:t>
            </w:r>
          </w:p>
        </w:tc>
        <w:tc>
          <w:tcPr>
            <w:tcW w:w="3039" w:type="dxa"/>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化学工程与技术</w:t>
            </w:r>
          </w:p>
        </w:tc>
        <w:tc>
          <w:tcPr>
            <w:tcW w:w="3039" w:type="dxa"/>
            <w:vAlign w:val="center"/>
          </w:tcPr>
          <w:p>
            <w:pPr>
              <w:jc w:val="center"/>
              <w:rPr>
                <w:rFonts w:hint="default" w:ascii="Times New Roman" w:hAnsi="Times New Roman" w:cs="Times New Roman"/>
                <w:sz w:val="24"/>
                <w:szCs w:val="24"/>
              </w:rPr>
            </w:pPr>
          </w:p>
        </w:tc>
      </w:tr>
    </w:tbl>
    <w:p>
      <w:pPr>
        <w:jc w:val="center"/>
        <w:rPr>
          <w:rFonts w:hint="default" w:ascii="Times New Roman" w:hAnsi="Times New Roman" w:cs="Times New Roman"/>
        </w:rPr>
      </w:pPr>
      <w:r>
        <w:rPr>
          <w:rFonts w:hint="default" w:ascii="Times New Roman" w:hAnsi="Times New Roman" w:cs="Times New Roman"/>
          <w:sz w:val="32"/>
          <w:szCs w:val="32"/>
        </w:rPr>
        <w:br w:type="page"/>
      </w:r>
      <w:r>
        <w:rPr>
          <w:rFonts w:hint="default" w:ascii="Times New Roman" w:hAnsi="Times New Roman" w:cs="Times New Roman"/>
          <w:b/>
          <w:bCs/>
        </w:rPr>
        <w:t>前    言</w:t>
      </w:r>
    </w:p>
    <w:p>
      <w:pPr>
        <w:ind w:firstLine="560" w:firstLineChars="200"/>
        <w:rPr>
          <w:rFonts w:hint="default" w:ascii="Times New Roman" w:hAnsi="Times New Roman" w:cs="Times New Roman"/>
        </w:rPr>
      </w:pPr>
      <w:r>
        <w:rPr>
          <w:rFonts w:hint="default" w:ascii="Times New Roman" w:hAnsi="Times New Roman" w:cs="Times New Roman"/>
          <w:lang w:eastAsia="zh-CN"/>
        </w:rPr>
        <w:t>上饶市广氟医药化工有限公司</w:t>
      </w:r>
      <w:r>
        <w:rPr>
          <w:rFonts w:hint="default" w:ascii="Times New Roman" w:hAnsi="Times New Roman" w:cs="Times New Roman"/>
        </w:rPr>
        <w:t>（以下简称“该公司”）位于</w:t>
      </w:r>
      <w:r>
        <w:rPr>
          <w:rFonts w:hint="default" w:ascii="Times New Roman" w:hAnsi="Times New Roman" w:cs="Times New Roman"/>
          <w:lang w:eastAsia="zh-CN"/>
        </w:rPr>
        <w:t>江西省上饶市广丰区洋口镇青桥寒婆岭，</w:t>
      </w:r>
      <w:r>
        <w:rPr>
          <w:rFonts w:hint="default" w:ascii="Times New Roman" w:hAnsi="Times New Roman" w:cs="Times New Roman"/>
        </w:rPr>
        <w:t>成立于</w:t>
      </w:r>
      <w:r>
        <w:rPr>
          <w:rFonts w:hint="default" w:ascii="Times New Roman" w:hAnsi="Times New Roman" w:cs="Times New Roman"/>
          <w:lang w:eastAsia="zh-CN"/>
        </w:rPr>
        <w:t>2006年02月23日</w:t>
      </w:r>
      <w:r>
        <w:rPr>
          <w:rFonts w:hint="default" w:ascii="Times New Roman" w:hAnsi="Times New Roman" w:cs="Times New Roman"/>
        </w:rPr>
        <w:t>，</w:t>
      </w:r>
      <w:r>
        <w:rPr>
          <w:rFonts w:hint="default" w:ascii="Times New Roman" w:hAnsi="Times New Roman" w:cs="Times New Roman"/>
          <w:lang w:eastAsia="zh-CN"/>
        </w:rPr>
        <w:t>注册资金1000万元</w:t>
      </w:r>
      <w:r>
        <w:rPr>
          <w:rFonts w:hint="default" w:ascii="Times New Roman" w:hAnsi="Times New Roman" w:cs="Times New Roman"/>
        </w:rPr>
        <w:t>，法定代表人：</w:t>
      </w:r>
      <w:r>
        <w:rPr>
          <w:rFonts w:hint="default" w:ascii="Times New Roman" w:hAnsi="Times New Roman" w:cs="Times New Roman"/>
          <w:lang w:eastAsia="zh-CN"/>
        </w:rPr>
        <w:t>孔永明</w:t>
      </w:r>
      <w:r>
        <w:rPr>
          <w:rFonts w:hint="default" w:ascii="Times New Roman" w:hAnsi="Times New Roman" w:cs="Times New Roman"/>
        </w:rPr>
        <w:t>。</w:t>
      </w:r>
      <w:r>
        <w:rPr>
          <w:rFonts w:hint="default" w:ascii="Times New Roman" w:hAnsi="Times New Roman" w:cs="Times New Roman"/>
          <w:sz w:val="28"/>
          <w:szCs w:val="28"/>
          <w:lang w:val="zh-CN"/>
        </w:rPr>
        <w:t>公司主要经营范围为许可项目：货物进出口（依法须经批准的项目，经相关部门批准后方可开展经营活动）一般项目：氟硅酸钾、氟硅酸钡、氟硅酸镁、氟硅酸锌、氟硼酸钾、氟硼酸钠、氟硼酸锂、氟化钾、氟化氢钾、氟钛酸、氟锆酸、氟硅酸钠、氟化钡、氟化钠、氟化氢钠、有水氢氟酸、氟化锌、氟化锶、氟化锂、有水氟硼酸、氟铝酸钾、氟铝酸钠、有水氟硅酸生产（安全生产许可证有效期至2023年8月25日止）</w:t>
      </w:r>
    </w:p>
    <w:p>
      <w:pPr>
        <w:ind w:firstLine="560" w:firstLineChars="200"/>
        <w:rPr>
          <w:rFonts w:hint="default" w:ascii="Times New Roman" w:hAnsi="Times New Roman" w:cs="Times New Roman"/>
        </w:rPr>
      </w:pPr>
      <w:r>
        <w:rPr>
          <w:rFonts w:hint="default" w:ascii="Times New Roman" w:hAnsi="Times New Roman" w:cs="Times New Roman"/>
        </w:rPr>
        <w:t>上饶市广氟医药化工有限公司现有在役生产装置于</w:t>
      </w:r>
      <w:r>
        <w:rPr>
          <w:rFonts w:hint="default" w:ascii="Times New Roman" w:hAnsi="Times New Roman" w:cs="Times New Roman"/>
          <w:lang w:eastAsia="zh-CN"/>
        </w:rPr>
        <w:t>2021年03月24日</w:t>
      </w:r>
      <w:r>
        <w:rPr>
          <w:rFonts w:hint="default" w:ascii="Times New Roman" w:hAnsi="Times New Roman" w:cs="Times New Roman"/>
        </w:rPr>
        <w:t>取得安全生产许可证，</w:t>
      </w:r>
      <w:r>
        <w:rPr>
          <w:rFonts w:hint="default" w:ascii="Times New Roman" w:hAnsi="Times New Roman" w:cs="Times New Roman"/>
          <w:lang w:eastAsia="zh-CN"/>
        </w:rPr>
        <w:t>有效期至</w:t>
      </w:r>
      <w:r>
        <w:rPr>
          <w:rFonts w:hint="default" w:ascii="Times New Roman" w:hAnsi="Times New Roman" w:cs="Times New Roman"/>
          <w:lang w:val="en-US" w:eastAsia="zh-CN"/>
        </w:rPr>
        <w:t>2023年08月25日，</w:t>
      </w:r>
      <w:r>
        <w:rPr>
          <w:rFonts w:hint="default" w:ascii="Times New Roman" w:hAnsi="Times New Roman" w:cs="Times New Roman"/>
        </w:rPr>
        <w:t>许可证编号：（赣）WH安许证字</w:t>
      </w:r>
      <w:r>
        <w:rPr>
          <w:rFonts w:hint="default" w:ascii="Times New Roman" w:hAnsi="Times New Roman" w:cs="Times New Roman"/>
          <w:lang w:eastAsia="zh-CN"/>
        </w:rPr>
        <w:t>[2011]0635号</w:t>
      </w:r>
      <w:r>
        <w:rPr>
          <w:rFonts w:hint="default" w:ascii="Times New Roman" w:hAnsi="Times New Roman" w:cs="Times New Roman"/>
        </w:rPr>
        <w:t>，许可范围：氟硅酸钾（500t/a）、氟硅酸钡（50t/a）、氟硅酸镁（65t/a）、氟硅酸锌（50t/a）、氟硼酸钾（500t/a）、氟硼酸钠（260t/a）、氟硼酸锂（50t/a）、氟化钾（100t/a）、氟化氢钾（100t/a）、氟钛酸（100t/a）、氟锆酸（100t/a）</w:t>
      </w:r>
      <w:r>
        <w:rPr>
          <w:rFonts w:hint="default" w:ascii="Times New Roman" w:hAnsi="Times New Roman" w:cs="Times New Roman"/>
          <w:lang w:eastAsia="zh-CN"/>
        </w:rPr>
        <w:t>、氟硅酸钠（</w:t>
      </w:r>
      <w:r>
        <w:rPr>
          <w:rFonts w:hint="default" w:ascii="Times New Roman" w:hAnsi="Times New Roman" w:cs="Times New Roman"/>
          <w:lang w:val="en-US" w:eastAsia="zh-CN"/>
        </w:rPr>
        <w:t>500t/a</w:t>
      </w:r>
      <w:r>
        <w:rPr>
          <w:rFonts w:hint="default" w:ascii="Times New Roman" w:hAnsi="Times New Roman" w:cs="Times New Roman"/>
          <w:lang w:eastAsia="zh-CN"/>
        </w:rPr>
        <w:t>）、氟化钡（</w:t>
      </w:r>
      <w:r>
        <w:rPr>
          <w:rFonts w:hint="default" w:ascii="Times New Roman" w:hAnsi="Times New Roman" w:cs="Times New Roman"/>
          <w:lang w:val="en-US" w:eastAsia="zh-CN"/>
        </w:rPr>
        <w:t>500t/a</w:t>
      </w:r>
      <w:r>
        <w:rPr>
          <w:rFonts w:hint="default" w:ascii="Times New Roman" w:hAnsi="Times New Roman" w:cs="Times New Roman"/>
          <w:lang w:eastAsia="zh-CN"/>
        </w:rPr>
        <w:t>）、氟化钠（</w:t>
      </w:r>
      <w:r>
        <w:rPr>
          <w:rFonts w:hint="default" w:ascii="Times New Roman" w:hAnsi="Times New Roman" w:cs="Times New Roman"/>
          <w:lang w:val="en-US" w:eastAsia="zh-CN"/>
        </w:rPr>
        <w:t>50t/a</w:t>
      </w:r>
      <w:r>
        <w:rPr>
          <w:rFonts w:hint="default" w:ascii="Times New Roman" w:hAnsi="Times New Roman" w:cs="Times New Roman"/>
          <w:lang w:eastAsia="zh-CN"/>
        </w:rPr>
        <w:t>）、氟化氢钠（</w:t>
      </w:r>
      <w:r>
        <w:rPr>
          <w:rFonts w:hint="default" w:ascii="Times New Roman" w:hAnsi="Times New Roman" w:cs="Times New Roman"/>
          <w:lang w:val="en-US" w:eastAsia="zh-CN"/>
        </w:rPr>
        <w:t>500t/a</w:t>
      </w:r>
      <w:r>
        <w:rPr>
          <w:rFonts w:hint="default" w:ascii="Times New Roman" w:hAnsi="Times New Roman" w:cs="Times New Roman"/>
          <w:lang w:eastAsia="zh-CN"/>
        </w:rPr>
        <w:t>）、有水氢氟酸（</w:t>
      </w:r>
      <w:r>
        <w:rPr>
          <w:rFonts w:hint="default" w:ascii="Times New Roman" w:hAnsi="Times New Roman" w:cs="Times New Roman"/>
          <w:lang w:val="en-US" w:eastAsia="zh-CN"/>
        </w:rPr>
        <w:t>500t/a</w:t>
      </w:r>
      <w:r>
        <w:rPr>
          <w:rFonts w:hint="default" w:ascii="Times New Roman" w:hAnsi="Times New Roman" w:cs="Times New Roman"/>
          <w:lang w:eastAsia="zh-CN"/>
        </w:rPr>
        <w:t>）、氟化锌（</w:t>
      </w:r>
      <w:r>
        <w:rPr>
          <w:rFonts w:hint="default" w:ascii="Times New Roman" w:hAnsi="Times New Roman" w:cs="Times New Roman"/>
          <w:lang w:val="en-US" w:eastAsia="zh-CN"/>
        </w:rPr>
        <w:t>5t/a</w:t>
      </w:r>
      <w:r>
        <w:rPr>
          <w:rFonts w:hint="default" w:ascii="Times New Roman" w:hAnsi="Times New Roman" w:cs="Times New Roman"/>
          <w:lang w:eastAsia="zh-CN"/>
        </w:rPr>
        <w:t>）、氟化锶（</w:t>
      </w:r>
      <w:r>
        <w:rPr>
          <w:rFonts w:hint="default" w:ascii="Times New Roman" w:hAnsi="Times New Roman" w:cs="Times New Roman"/>
          <w:lang w:val="en-US" w:eastAsia="zh-CN"/>
        </w:rPr>
        <w:t>20t/a</w:t>
      </w:r>
      <w:r>
        <w:rPr>
          <w:rFonts w:hint="default" w:ascii="Times New Roman" w:hAnsi="Times New Roman" w:cs="Times New Roman"/>
          <w:lang w:eastAsia="zh-CN"/>
        </w:rPr>
        <w:t>）、氟化锂（</w:t>
      </w:r>
      <w:r>
        <w:rPr>
          <w:rFonts w:hint="default" w:ascii="Times New Roman" w:hAnsi="Times New Roman" w:cs="Times New Roman"/>
          <w:lang w:val="en-US" w:eastAsia="zh-CN"/>
        </w:rPr>
        <w:t>5t/a</w:t>
      </w:r>
      <w:r>
        <w:rPr>
          <w:rFonts w:hint="default" w:ascii="Times New Roman" w:hAnsi="Times New Roman" w:cs="Times New Roman"/>
          <w:lang w:eastAsia="zh-CN"/>
        </w:rPr>
        <w:t>）、有水氟硼酸（</w:t>
      </w:r>
      <w:r>
        <w:rPr>
          <w:rFonts w:hint="default" w:ascii="Times New Roman" w:hAnsi="Times New Roman" w:cs="Times New Roman"/>
          <w:lang w:val="en-US" w:eastAsia="zh-CN"/>
        </w:rPr>
        <w:t>100t/a</w:t>
      </w:r>
      <w:r>
        <w:rPr>
          <w:rFonts w:hint="default" w:ascii="Times New Roman" w:hAnsi="Times New Roman" w:cs="Times New Roman"/>
          <w:lang w:eastAsia="zh-CN"/>
        </w:rPr>
        <w:t>）、氟铝酸钾（</w:t>
      </w:r>
      <w:r>
        <w:rPr>
          <w:rFonts w:hint="default" w:ascii="Times New Roman" w:hAnsi="Times New Roman" w:cs="Times New Roman"/>
          <w:lang w:val="en-US" w:eastAsia="zh-CN"/>
        </w:rPr>
        <w:t>10t/a</w:t>
      </w:r>
      <w:r>
        <w:rPr>
          <w:rFonts w:hint="default" w:ascii="Times New Roman" w:hAnsi="Times New Roman" w:cs="Times New Roman"/>
          <w:lang w:eastAsia="zh-CN"/>
        </w:rPr>
        <w:t>）、氟铝酸钠（</w:t>
      </w:r>
      <w:r>
        <w:rPr>
          <w:rFonts w:hint="default" w:ascii="Times New Roman" w:hAnsi="Times New Roman" w:cs="Times New Roman"/>
          <w:lang w:val="en-US" w:eastAsia="zh-CN"/>
        </w:rPr>
        <w:t>5t/a</w:t>
      </w:r>
      <w:r>
        <w:rPr>
          <w:rFonts w:hint="default" w:ascii="Times New Roman" w:hAnsi="Times New Roman" w:cs="Times New Roman"/>
          <w:lang w:eastAsia="zh-CN"/>
        </w:rPr>
        <w:t>）、有水氟硅酸（</w:t>
      </w:r>
      <w:r>
        <w:rPr>
          <w:rFonts w:hint="default" w:ascii="Times New Roman" w:hAnsi="Times New Roman" w:cs="Times New Roman"/>
          <w:lang w:val="en-US" w:eastAsia="zh-CN"/>
        </w:rPr>
        <w:t>50t/a</w:t>
      </w:r>
      <w:r>
        <w:rPr>
          <w:rFonts w:hint="default" w:ascii="Times New Roman" w:hAnsi="Times New Roman" w:cs="Times New Roman"/>
          <w:lang w:eastAsia="zh-CN"/>
        </w:rPr>
        <w:t>）</w:t>
      </w:r>
      <w:r>
        <w:rPr>
          <w:rFonts w:hint="default" w:ascii="Times New Roman" w:hAnsi="Times New Roman" w:cs="Times New Roman"/>
          <w:lang w:val="en-US" w:eastAsia="zh-CN"/>
        </w:rPr>
        <w:t>；该公司自取证至今未发生重大安全事故。</w:t>
      </w:r>
      <w:r>
        <w:rPr>
          <w:rFonts w:hint="default" w:ascii="Times New Roman" w:hAnsi="Times New Roman" w:cs="Times New Roman"/>
        </w:rPr>
        <w:t>该公司于</w:t>
      </w:r>
      <w:r>
        <w:rPr>
          <w:rFonts w:hint="default" w:ascii="Times New Roman" w:hAnsi="Times New Roman" w:cs="Times New Roman"/>
          <w:lang w:eastAsia="zh-CN"/>
        </w:rPr>
        <w:t>2022年11月25日</w:t>
      </w:r>
      <w:r>
        <w:rPr>
          <w:rFonts w:hint="default" w:ascii="Times New Roman" w:hAnsi="Times New Roman" w:cs="Times New Roman"/>
        </w:rPr>
        <w:t>取得由</w:t>
      </w:r>
      <w:r>
        <w:rPr>
          <w:rFonts w:hint="default" w:ascii="Times New Roman" w:hAnsi="Times New Roman" w:cs="Times New Roman"/>
          <w:lang w:eastAsia="zh-CN"/>
        </w:rPr>
        <w:t>上饶市应急管理局</w:t>
      </w:r>
      <w:r>
        <w:rPr>
          <w:rFonts w:hint="default" w:ascii="Times New Roman" w:hAnsi="Times New Roman" w:cs="Times New Roman"/>
        </w:rPr>
        <w:t>颁发的安全标准化证书，证书编号：赣（经）</w:t>
      </w:r>
      <w:r>
        <w:rPr>
          <w:rFonts w:hint="default" w:ascii="Times New Roman" w:hAnsi="Times New Roman" w:cs="Times New Roman"/>
          <w:lang w:eastAsia="zh-CN"/>
        </w:rPr>
        <w:t>AQBWHⅢ202200074</w:t>
      </w:r>
      <w:r>
        <w:rPr>
          <w:rFonts w:hint="default" w:ascii="Times New Roman" w:hAnsi="Times New Roman" w:cs="Times New Roman"/>
        </w:rPr>
        <w:t>，有效期至</w:t>
      </w:r>
      <w:r>
        <w:rPr>
          <w:rFonts w:hint="default" w:ascii="Times New Roman" w:hAnsi="Times New Roman" w:cs="Times New Roman"/>
          <w:lang w:eastAsia="zh-CN"/>
        </w:rPr>
        <w:t>2025年11月24日</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上饶市广氟医药化工有限公司</w:t>
      </w:r>
      <w:r>
        <w:rPr>
          <w:rFonts w:hint="default" w:ascii="Times New Roman" w:hAnsi="Times New Roman" w:cs="Times New Roman"/>
          <w:sz w:val="28"/>
          <w:szCs w:val="28"/>
        </w:rPr>
        <w:t>涉及的物料有：有水氢氟酸</w:t>
      </w:r>
      <w:r>
        <w:rPr>
          <w:rFonts w:hint="default" w:ascii="Times New Roman" w:hAnsi="Times New Roman" w:cs="Times New Roman"/>
          <w:sz w:val="28"/>
          <w:szCs w:val="28"/>
          <w:lang w:eastAsia="zh-CN"/>
        </w:rPr>
        <w:t>、有水氟硼酸、有水氟硅酸、</w:t>
      </w:r>
      <w:r>
        <w:rPr>
          <w:rFonts w:hint="default" w:ascii="Times New Roman" w:hAnsi="Times New Roman" w:cs="Times New Roman"/>
          <w:sz w:val="28"/>
          <w:szCs w:val="28"/>
        </w:rPr>
        <w:t>石英砂、碳酸钾、氢氧化钾、氯化钾、碳酸锌、碳酸钡、碳酸镁、硼酸、碳酸钠、氢氧化钠、碳酸锂、氢氧化铝、钛白粉、碳酸锆、氟硅酸钾、氟硅酸钡、氟硅酸镁、氟硅酸锌、氟硼酸钾、氟硼酸钠、氟硼酸锂、氟化钾、氟化氢钾、氟锆酸</w:t>
      </w:r>
      <w:r>
        <w:rPr>
          <w:rFonts w:hint="default" w:ascii="Times New Roman" w:hAnsi="Times New Roman" w:cs="Times New Roman"/>
          <w:sz w:val="28"/>
          <w:szCs w:val="28"/>
          <w:lang w:eastAsia="zh-CN"/>
        </w:rPr>
        <w:t>、碳酸锶、氟硅酸钠、氟铝酸钾、氟铝酸钠、氟化钡、氟化钠、氟化氢钠、氟化锶、氟化锌、氟化锂、氟钛酸等。</w:t>
      </w:r>
      <w:r>
        <w:rPr>
          <w:rFonts w:hint="default" w:ascii="Times New Roman" w:hAnsi="Times New Roman" w:cs="Times New Roman"/>
        </w:rPr>
        <w:t>根据《危险化学品目录》（20</w:t>
      </w:r>
      <w:r>
        <w:rPr>
          <w:rFonts w:hint="eastAsia" w:cs="Times New Roman"/>
          <w:lang w:val="en-US" w:eastAsia="zh-CN"/>
        </w:rPr>
        <w:t>22调整</w:t>
      </w:r>
      <w:r>
        <w:rPr>
          <w:rFonts w:hint="default" w:ascii="Times New Roman" w:hAnsi="Times New Roman" w:cs="Times New Roman"/>
        </w:rPr>
        <w:t>版）的规定，</w:t>
      </w:r>
      <w:r>
        <w:rPr>
          <w:rFonts w:hint="default" w:ascii="Times New Roman" w:hAnsi="Times New Roman" w:cs="Times New Roman"/>
          <w:lang w:eastAsia="zh-CN"/>
        </w:rPr>
        <w:t>该公司涉及的</w:t>
      </w:r>
      <w:r>
        <w:rPr>
          <w:rFonts w:hint="default" w:ascii="Times New Roman" w:hAnsi="Times New Roman" w:cs="Times New Roman"/>
        </w:rPr>
        <w:t>有水氢氟酸、有水氟硅酸、硼酸</w:t>
      </w:r>
      <w:r>
        <w:rPr>
          <w:rFonts w:hint="default" w:ascii="Times New Roman" w:hAnsi="Times New Roman" w:cs="Times New Roman"/>
          <w:lang w:eastAsia="zh-CN"/>
        </w:rPr>
        <w:t>、</w:t>
      </w:r>
      <w:r>
        <w:rPr>
          <w:rFonts w:hint="default" w:ascii="Times New Roman" w:hAnsi="Times New Roman" w:cs="Times New Roman"/>
        </w:rPr>
        <w:t>氟硅酸钠、氟化钡、氟化钠、氟化氢钠、氟化锌、氟化锂、有水氟硼酸</w:t>
      </w:r>
      <w:r>
        <w:rPr>
          <w:rFonts w:hint="default" w:ascii="Times New Roman" w:hAnsi="Times New Roman" w:cs="Times New Roman"/>
          <w:lang w:eastAsia="zh-CN"/>
        </w:rPr>
        <w:t>、</w:t>
      </w:r>
      <w:r>
        <w:rPr>
          <w:rFonts w:hint="default" w:ascii="Times New Roman" w:hAnsi="Times New Roman" w:cs="Times New Roman"/>
          <w:lang w:val="en-US" w:eastAsia="zh-CN"/>
        </w:rPr>
        <w:t>柴油（燃料）</w:t>
      </w:r>
      <w:r>
        <w:rPr>
          <w:rFonts w:hint="default" w:ascii="Times New Roman" w:hAnsi="Times New Roman" w:cs="Times New Roman"/>
        </w:rPr>
        <w:t>等属于危险化学品。</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lang w:eastAsia="zh-CN"/>
        </w:rPr>
        <w:t>上饶市广氟医药化工有限公司</w:t>
      </w:r>
      <w:r>
        <w:rPr>
          <w:rFonts w:hint="default" w:ascii="Times New Roman" w:hAnsi="Times New Roman" w:cs="Times New Roman"/>
        </w:rPr>
        <w:t>不涉及重点监管的危险工艺，涉及的</w:t>
      </w:r>
      <w:r>
        <w:rPr>
          <w:rFonts w:hint="default" w:ascii="Times New Roman" w:hAnsi="Times New Roman" w:cs="Times New Roman"/>
          <w:lang w:eastAsia="zh-CN"/>
        </w:rPr>
        <w:t>有水氢氟酸</w:t>
      </w:r>
      <w:r>
        <w:rPr>
          <w:rFonts w:hint="default" w:ascii="Times New Roman" w:hAnsi="Times New Roman" w:cs="Times New Roman"/>
        </w:rPr>
        <w:t>属于重点监管的危险化学品，各生产和储存单元不构成重大危险源。</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上饶市广氟医药化工有限公司现有职工30人，管理人员2人。该公司主要负责人、安全管理人员共2人经过</w:t>
      </w:r>
      <w:r>
        <w:rPr>
          <w:rFonts w:hint="default" w:ascii="Times New Roman" w:hAnsi="Times New Roman" w:cs="Times New Roman"/>
          <w:lang w:eastAsia="zh-CN"/>
        </w:rPr>
        <w:t>上饶市应急管理</w:t>
      </w:r>
      <w:r>
        <w:rPr>
          <w:rFonts w:hint="default" w:ascii="Times New Roman" w:hAnsi="Times New Roman" w:cs="Times New Roman"/>
        </w:rPr>
        <w:t>局组织的危险化学品安全管理培训并经考试合格取得资格证书。该公司有焊接与热切割作业、电工作业、叉车司机等各类特种作业和操作人员，特种作业和操作人员均持证上岗。</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根据《中华人民共和国安全生产法》（主席令［2021］第88号，2021年6月10日第十三届全国人民代表大会常务委员会第二十九次会议通过，2021年9月1日起实施）、《安全生产许可证条例》和《危险化学品生产企业安全生产许可证实施办法》等法律、法规规定，安全生产许可证的有效期为3年。安全生产许可证有效期满需要延期的，企业应当于期满前3个月内向原安全生产许可证颁发管理机关办理延期手续。</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受</w:t>
      </w:r>
      <w:r>
        <w:rPr>
          <w:rFonts w:hint="default" w:ascii="Times New Roman" w:hAnsi="Times New Roman" w:cs="Times New Roman"/>
          <w:lang w:eastAsia="zh-CN"/>
        </w:rPr>
        <w:t>上饶市广氟医药化工有限公司</w:t>
      </w:r>
      <w:r>
        <w:rPr>
          <w:rFonts w:hint="default" w:ascii="Times New Roman" w:hAnsi="Times New Roman" w:cs="Times New Roman"/>
        </w:rPr>
        <w:t>的委托，江西赣安安全生产科学技术咨询服务中心承担了其危险化学品生产企业现状安全评价工作，按《危险化学品生产企业安全生产许可证实施办法》（国家安全监管总局令第41号，国家安全监管总局令第89号修改）的要求，与</w:t>
      </w:r>
      <w:r>
        <w:rPr>
          <w:rFonts w:hint="default" w:ascii="Times New Roman" w:hAnsi="Times New Roman" w:cs="Times New Roman"/>
          <w:lang w:eastAsia="zh-CN"/>
        </w:rPr>
        <w:t>上饶市广氟医药化工有限公司</w:t>
      </w:r>
      <w:r>
        <w:rPr>
          <w:rFonts w:hint="default" w:ascii="Times New Roman" w:hAnsi="Times New Roman" w:cs="Times New Roman"/>
        </w:rPr>
        <w:t>协商确定了评价范围。</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根据</w:t>
      </w:r>
      <w:r>
        <w:rPr>
          <w:rFonts w:hint="default" w:ascii="Times New Roman" w:hAnsi="Times New Roman" w:cs="Times New Roman"/>
          <w:lang w:eastAsia="zh-CN"/>
        </w:rPr>
        <w:t>原</w:t>
      </w:r>
      <w:r>
        <w:rPr>
          <w:rFonts w:hint="default" w:ascii="Times New Roman" w:hAnsi="Times New Roman" w:cs="Times New Roman"/>
        </w:rPr>
        <w:t>国家安全生产监督管理局[2004]127号《关于印发〈危险化学品生产企业安全评价导则〉（试行）的通知》的要求，中心组织评价组，对</w:t>
      </w:r>
      <w:r>
        <w:rPr>
          <w:rFonts w:hint="default" w:ascii="Times New Roman" w:hAnsi="Times New Roman" w:cs="Times New Roman"/>
          <w:lang w:eastAsia="zh-CN"/>
        </w:rPr>
        <w:t>上饶市广氟医药化工有限公司</w:t>
      </w:r>
      <w:r>
        <w:rPr>
          <w:rFonts w:hint="default" w:ascii="Times New Roman" w:hAnsi="Times New Roman" w:cs="Times New Roman"/>
        </w:rPr>
        <w:t>的周边情况、总平面布置、设备设施、安全设施、安全管理及相关证照进行了检查和审核。评价报告按照《安全评价通则》AQ8001-2007、《危险化学品生产企业安全评价导则》（试行）的要求进行编制。</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本次评价，一方面为企业申请办理《危险化学品生产企业安全生产许可证》延期换证工作提供帮助；另一方面为企业正确认识本危险化学品生产风险，制定安全措施，改善安全管理，提升危险化学品生产装置安全可靠性提供技术支持和服务。</w:t>
      </w:r>
    </w:p>
    <w:p>
      <w:pPr>
        <w:jc w:val="center"/>
        <w:rPr>
          <w:rFonts w:hint="default" w:ascii="Times New Roman" w:hAnsi="Times New Roman" w:cs="Times New Roman"/>
          <w:b/>
          <w:bCs/>
        </w:rPr>
      </w:pPr>
      <w:r>
        <w:rPr>
          <w:rFonts w:hint="default" w:ascii="Times New Roman" w:hAnsi="Times New Roman" w:cs="Times New Roman"/>
        </w:rPr>
        <w:br w:type="page"/>
      </w:r>
      <w:r>
        <w:rPr>
          <w:rFonts w:hint="default" w:ascii="Times New Roman" w:hAnsi="Times New Roman" w:cs="Times New Roman"/>
          <w:b/>
          <w:bCs/>
        </w:rPr>
        <w:t>目    录</w:t>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TOC \o "1-2" \h \u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_Toc11543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1编制说明</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_Toc11543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_Toc12342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1.1评价目的</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_Toc12342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_Toc19060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1.2评价原则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_Toc19060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_Toc28954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1.3评价依据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_Toc28954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_Toc15476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2企业</w:t>
      </w:r>
      <w:r>
        <w:rPr>
          <w:rFonts w:hint="default" w:ascii="Times New Roman" w:hAnsi="Times New Roman" w:cs="Times New Roman"/>
          <w:sz w:val="24"/>
          <w:szCs w:val="24"/>
          <w:lang w:eastAsia="zh-CN"/>
        </w:rPr>
        <w:t>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_Toc15476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_Toc32304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2.1企业</w:t>
      </w:r>
      <w:r>
        <w:rPr>
          <w:rFonts w:hint="default" w:ascii="Times New Roman" w:hAnsi="Times New Roman" w:cs="Times New Roman"/>
          <w:sz w:val="24"/>
          <w:szCs w:val="24"/>
          <w:lang w:eastAsia="zh-CN"/>
        </w:rPr>
        <w:t>基本情况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_Toc32304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_Toc26767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2.2厂址基本情况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_Toc26767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_Toc2541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主要生产工艺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_Toc2541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_Toc30422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公用工程及辅助设施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_Toc30422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_Toc9666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总图及平面布置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_Toc9666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_Toc15859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安全管理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_Toc15859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_Toc13487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安全投入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_Toc13487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_Toc18432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2.8主要安全设施和技术措施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_Toc18432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_Toc18225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2.9近三年的安全生产状况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_Toc18225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_Toc32546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3评价对象及范围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_Toc32546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_Toc21488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4安全评价程序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_Toc21488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_Toc18456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危险、有害因素分析结果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_Toc18456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_Toc6809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.1主要危险化学品物质情况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_Toc6809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_Toc16921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危险源场所辨识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_Toc16921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_Toc10948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3危险、有害因素分布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_Toc10948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_Toc24238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en-US" w:eastAsia="zh-CN"/>
        </w:rPr>
        <w:t>5.4</w:t>
      </w:r>
      <w:r>
        <w:rPr>
          <w:rFonts w:hint="default" w:ascii="Times New Roman" w:hAnsi="Times New Roman" w:cs="Times New Roman"/>
          <w:sz w:val="24"/>
          <w:szCs w:val="24"/>
        </w:rPr>
        <w:t>外部环境及自然环境的影响分析结果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_Toc24238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_Toc5854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评价单元划分与评价方法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_Toc5854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_Toc22904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.1评价单元的划分原则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_Toc22904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_Toc23391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.2评价单元的划分结果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_Toc23391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_Toc5882 </w:instrText>
      </w:r>
      <w:r>
        <w:rPr>
          <w:rFonts w:hint="default" w:ascii="Times New Roman" w:hAnsi="Times New Roman" w:cs="Times New Roman"/>
          <w:sz w:val="24"/>
          <w:szCs w:val="24"/>
        </w:rPr>
        <w:fldChar w:fldCharType="separate"/>
      </w:r>
      <w:r>
        <w:rPr>
          <w:rFonts w:hint="default" w:ascii="Times New Roman" w:hAnsi="Times New Roman" w:cs="Times New Roman"/>
          <w:kern w:val="2"/>
          <w:sz w:val="24"/>
          <w:szCs w:val="24"/>
          <w:lang w:val="en-US" w:eastAsia="zh-CN"/>
        </w:rPr>
        <w:t>6</w:t>
      </w:r>
      <w:r>
        <w:rPr>
          <w:rFonts w:hint="default" w:ascii="Times New Roman" w:hAnsi="Times New Roman" w:cs="Times New Roman"/>
          <w:kern w:val="2"/>
          <w:sz w:val="24"/>
          <w:szCs w:val="24"/>
        </w:rPr>
        <w:t>.3采用评价方法简介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_Toc5882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_Toc1252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7定性、定量评价结果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_Toc1252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_Toc27362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7.1</w:t>
      </w:r>
      <w:r>
        <w:rPr>
          <w:rFonts w:hint="default" w:ascii="Times New Roman" w:hAnsi="Times New Roman" w:cs="Times New Roman"/>
          <w:sz w:val="24"/>
          <w:szCs w:val="24"/>
          <w:lang w:val="en-US" w:eastAsia="zh-CN"/>
        </w:rPr>
        <w:t>定性评价结果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_Toc27362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_Toc13282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7.2定量评价结果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_Toc13282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_Toc2405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en-US" w:eastAsia="zh-CN"/>
        </w:rPr>
        <w:t>7.3重大危险源辨识结果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_Toc2405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_Toc21251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en-US" w:eastAsia="zh-CN"/>
        </w:rPr>
        <w:t>7.4</w:t>
      </w:r>
      <w:r>
        <w:rPr>
          <w:rFonts w:hint="default" w:ascii="Times New Roman" w:hAnsi="Times New Roman" w:cs="Times New Roman"/>
          <w:sz w:val="24"/>
          <w:szCs w:val="24"/>
        </w:rPr>
        <w:t>存在的事故隐患及风险程度和紧迫程度</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_Toc21251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_Toc15733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7.3事故案例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_Toc15733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_Toc32332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8可能发生的危险化学品事故的预测后果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_Toc32332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_Toc15541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9安全条件和安全生产条件的分析结果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_Toc15541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_Toc13984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9.1评价项目的安全条件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_Toc13984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_Toc16790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9.2安全生产条件的分析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_Toc16790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_Toc11776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9.3安全生产条件符合性评价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_Toc11776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_Toc6802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10安全对策措施与建议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_Toc6802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_Toc29275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10.1对不能满足安全生产条件要求的对策措施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_Toc29275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_Toc14768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10.2对存在的事故隐患对策措施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_Toc14768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_Toc16913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10.3关于安全生产的建议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_Toc16913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_Toc28287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11评价结果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_Toc28287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_Toc13944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附件A 对报告提出问题交换意见的结果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_Toc13944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133</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_Toc23792 </w:instrText>
      </w:r>
      <w:r>
        <w:rPr>
          <w:rFonts w:hint="default" w:ascii="Times New Roman" w:hAnsi="Times New Roman" w:cs="Times New Roman"/>
          <w:sz w:val="24"/>
          <w:szCs w:val="24"/>
        </w:rPr>
        <w:fldChar w:fldCharType="separate"/>
      </w:r>
      <w:r>
        <w:rPr>
          <w:rFonts w:hint="default" w:ascii="Times New Roman" w:hAnsi="Times New Roman" w:cs="Times New Roman"/>
          <w:bCs/>
          <w:sz w:val="24"/>
          <w:szCs w:val="24"/>
        </w:rPr>
        <w:t>附件B 危险、有害因素的辨</w:t>
      </w:r>
      <w:bookmarkStart w:id="168" w:name="_GoBack"/>
      <w:bookmarkEnd w:id="168"/>
      <w:r>
        <w:rPr>
          <w:rFonts w:hint="default" w:ascii="Times New Roman" w:hAnsi="Times New Roman" w:cs="Times New Roman"/>
          <w:bCs/>
          <w:sz w:val="24"/>
          <w:szCs w:val="24"/>
        </w:rPr>
        <w:t>识及分析过程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_Toc23792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_Toc31692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B.1固有危险性分析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_Toc31692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B.2危险、有害因素分析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_Toc18771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B.3自然环境的影响因素</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_Toc18771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_Toc16468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B.4</w:t>
      </w:r>
      <w:r>
        <w:rPr>
          <w:rFonts w:hint="default" w:ascii="Times New Roman" w:hAnsi="Times New Roman" w:cs="Times New Roman"/>
          <w:smallCaps/>
          <w:sz w:val="24"/>
          <w:szCs w:val="24"/>
        </w:rPr>
        <w:t>主要危险、有害因素种类与分布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_Toc16468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_Toc9218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B.5重大危险源辨识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_Toc9218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_Toc7577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B.6外部安全防护距离</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_Toc7577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_Toc1764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B.7生产装置风险源风险分级</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_Toc1764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_Toc15621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B.8物料的理化特性</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_Toc15621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_Toc10251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附件C定性、定量分析过程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_Toc10251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_Toc21611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C.1厂址及周边环境单元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_Toc21611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182</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_Toc1507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C.2总平面布置及建构筑物单元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_Toc1507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_Toc4326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C.3生产工艺、设备装置单元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_Toc4326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196</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_Toc2059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C.4储运单元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_Toc2059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_Toc14014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C.5公用工程及辅助设施单元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_Toc14014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211</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_Toc6191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C.6安全管理单元</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_Toc6191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237</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_Toc28013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附件D重大事故后果预测及多米诺效应</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_Toc28013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248</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_Toc31348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附件E安全评价方法的确定说明和安全评价方法简介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_Toc31348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_Toc203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E.1评价单元划分依据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249</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_Toc10864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E.2评价单元的划分结果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_Toc10864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19"/>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_Toc26802 </w:instrText>
      </w:r>
      <w:r>
        <w:rPr>
          <w:rFonts w:hint="default" w:ascii="Times New Roman" w:hAnsi="Times New Roman" w:cs="Times New Roman"/>
          <w:sz w:val="24"/>
          <w:szCs w:val="24"/>
        </w:rPr>
        <w:fldChar w:fldCharType="separate"/>
      </w:r>
      <w:r>
        <w:rPr>
          <w:rFonts w:hint="default" w:ascii="Times New Roman" w:hAnsi="Times New Roman" w:cs="Times New Roman"/>
          <w:kern w:val="2"/>
          <w:sz w:val="24"/>
          <w:szCs w:val="24"/>
        </w:rPr>
        <w:t>E.3采用评价方法简介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_Toc26802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250</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_Toc26828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附件F企业提供的原始资料目录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_Toc26828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254</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pStyle w:val="7"/>
        <w:keepNext w:val="0"/>
        <w:keepLines w:val="0"/>
        <w:pageBreakBefore w:val="0"/>
        <w:widowControl w:val="0"/>
        <w:tabs>
          <w:tab w:val="right" w:leader="dot" w:pos="9070"/>
        </w:tabs>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_Toc12944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附件G法定检测、检验情况的汇总表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_Toc12944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255</w:t>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end"/>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sz w:val="24"/>
          <w:szCs w:val="24"/>
        </w:rPr>
        <w:fldChar w:fldCharType="end"/>
      </w:r>
    </w:p>
    <w:p>
      <w:pPr>
        <w:rPr>
          <w:rFonts w:hint="default" w:ascii="Times New Roman" w:hAnsi="Times New Roman" w:cs="Times New Roman"/>
        </w:rPr>
      </w:pPr>
    </w:p>
    <w:p>
      <w:pPr>
        <w:jc w:val="center"/>
        <w:rPr>
          <w:rFonts w:hint="default" w:ascii="Times New Roman" w:hAnsi="Times New Roman" w:cs="Times New Roman"/>
          <w:b/>
          <w:bCs/>
        </w:rPr>
        <w:sectPr>
          <w:headerReference r:id="rId5" w:type="default"/>
          <w:footerReference r:id="rId6" w:type="default"/>
          <w:pgSz w:w="11906" w:h="16838"/>
          <w:pgMar w:top="1418" w:right="1418" w:bottom="1418" w:left="1418" w:header="851" w:footer="992" w:gutter="0"/>
          <w:pgBorders>
            <w:top w:val="none" w:sz="0" w:space="0"/>
            <w:left w:val="none" w:sz="0" w:space="0"/>
            <w:bottom w:val="none" w:sz="0" w:space="0"/>
            <w:right w:val="none" w:sz="0" w:space="0"/>
          </w:pgBorders>
          <w:pgNumType w:fmt="upperRoman" w:start="1"/>
          <w:cols w:space="425" w:num="1"/>
          <w:titlePg/>
          <w:docGrid w:type="lines" w:linePitch="312" w:charSpace="0"/>
        </w:sectPr>
      </w:pPr>
    </w:p>
    <w:p>
      <w:pPr>
        <w:jc w:val="center"/>
        <w:rPr>
          <w:rFonts w:hint="default" w:ascii="Times New Roman" w:hAnsi="Times New Roman" w:eastAsia="宋体" w:cs="Times New Roman"/>
          <w:b/>
          <w:bCs/>
          <w:lang w:eastAsia="zh-CN"/>
        </w:rPr>
      </w:pPr>
      <w:r>
        <w:rPr>
          <w:rFonts w:hint="default" w:ascii="Times New Roman" w:hAnsi="Times New Roman" w:cs="Times New Roman"/>
          <w:b/>
          <w:bCs/>
          <w:lang w:eastAsia="zh-CN"/>
        </w:rPr>
        <w:t>上饶市广氟医药化工有限公司</w:t>
      </w:r>
    </w:p>
    <w:p>
      <w:pPr>
        <w:jc w:val="center"/>
        <w:rPr>
          <w:rFonts w:hint="default" w:ascii="Times New Roman" w:hAnsi="Times New Roman" w:cs="Times New Roman"/>
          <w:b/>
          <w:bCs/>
        </w:rPr>
      </w:pPr>
      <w:r>
        <w:rPr>
          <w:rFonts w:hint="default" w:ascii="Times New Roman" w:hAnsi="Times New Roman" w:cs="Times New Roman"/>
          <w:b/>
          <w:bCs/>
        </w:rPr>
        <w:t>在役生产装置</w:t>
      </w:r>
    </w:p>
    <w:p>
      <w:pPr>
        <w:jc w:val="center"/>
        <w:rPr>
          <w:rFonts w:hint="default" w:ascii="Times New Roman" w:hAnsi="Times New Roman" w:cs="Times New Roman"/>
          <w:b/>
          <w:bCs/>
        </w:rPr>
      </w:pPr>
      <w:r>
        <w:rPr>
          <w:rFonts w:hint="default" w:ascii="Times New Roman" w:hAnsi="Times New Roman" w:cs="Times New Roman"/>
          <w:b/>
          <w:bCs/>
        </w:rPr>
        <w:t>安全现状评价报告</w:t>
      </w:r>
    </w:p>
    <w:p>
      <w:pPr>
        <w:pStyle w:val="3"/>
        <w:rPr>
          <w:rFonts w:hint="default" w:ascii="Times New Roman" w:hAnsi="Times New Roman" w:cs="Times New Roman"/>
        </w:rPr>
      </w:pPr>
      <w:bookmarkStart w:id="6" w:name="_Toc11543"/>
      <w:r>
        <w:rPr>
          <w:rFonts w:hint="default" w:ascii="Times New Roman" w:hAnsi="Times New Roman" w:cs="Times New Roman"/>
        </w:rPr>
        <w:t>1编制说明</w:t>
      </w:r>
      <w:bookmarkEnd w:id="6"/>
    </w:p>
    <w:p>
      <w:pPr>
        <w:pStyle w:val="4"/>
        <w:rPr>
          <w:rFonts w:hint="default" w:ascii="Times New Roman" w:hAnsi="Times New Roman" w:cs="Times New Roman"/>
        </w:rPr>
      </w:pPr>
      <w:bookmarkStart w:id="7" w:name="_Toc12342"/>
      <w:r>
        <w:rPr>
          <w:rFonts w:hint="default" w:ascii="Times New Roman" w:hAnsi="Times New Roman" w:cs="Times New Roman"/>
        </w:rPr>
        <w:t>1.1评价目的</w:t>
      </w:r>
      <w:bookmarkEnd w:id="7"/>
    </w:p>
    <w:p>
      <w:pPr>
        <w:ind w:firstLine="560" w:firstLineChars="200"/>
        <w:rPr>
          <w:rFonts w:hint="default" w:ascii="Times New Roman" w:hAnsi="Times New Roman" w:cs="Times New Roman"/>
        </w:rPr>
      </w:pPr>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rPr>
        <w:t>安全现状评价的目的主要有：</w:t>
      </w:r>
    </w:p>
    <w:p>
      <w:pPr>
        <w:ind w:firstLine="560" w:firstLineChars="200"/>
        <w:rPr>
          <w:rFonts w:hint="default" w:ascii="Times New Roman" w:hAnsi="Times New Roman" w:cs="Times New Roman"/>
        </w:rPr>
      </w:pPr>
      <w:r>
        <w:rPr>
          <w:rFonts w:hint="default" w:ascii="Times New Roman" w:hAnsi="Times New Roman" w:cs="Times New Roman"/>
        </w:rPr>
        <w:t>（1）根据《中华人民共和国安全生产法》、《危险化学品安全管理条例》（国务院令第591号，2013年国务院令第645号修改）、《安全生产许可证条例》（国务院令第397号，2014年国务院令第653号修改）及《危险化学品生产企业安全生产许可证实施办法》（国家安全监管总局令第41号，国家安全监管总局令第89号修改）的要求，为加强危险化学品安全管理，保障安全，规范危险化学品生产经营活动，配合国家对危险化学品生产单位资质的行政许可工作。</w:t>
      </w:r>
    </w:p>
    <w:p>
      <w:pPr>
        <w:ind w:firstLine="560" w:firstLineChars="200"/>
        <w:rPr>
          <w:rFonts w:hint="default" w:ascii="Times New Roman" w:hAnsi="Times New Roman" w:cs="Times New Roman"/>
        </w:rPr>
      </w:pPr>
      <w:r>
        <w:rPr>
          <w:rFonts w:hint="default" w:ascii="Times New Roman" w:hAnsi="Times New Roman" w:cs="Times New Roman"/>
        </w:rPr>
        <w:t>（2）本评价以实现系统安全为目的，针对系统、工程（某一个生产经营单位的总体或局部生产经营活动）的安全状况进行评价。通过安全评价查找其存在的危险、有害因素，确定其危险、危害程度，提出合理可行的安全对策措施及建议。在对系统存在的危险因素进行全面、深入分析的基础上，重点考核、评价</w:t>
      </w:r>
      <w:r>
        <w:rPr>
          <w:rFonts w:hint="default" w:ascii="Times New Roman" w:hAnsi="Times New Roman" w:cs="Times New Roman"/>
          <w:lang w:eastAsia="zh-CN"/>
        </w:rPr>
        <w:t>上饶市广氟医药化工有限公司</w:t>
      </w:r>
      <w:r>
        <w:rPr>
          <w:rFonts w:hint="default" w:ascii="Times New Roman" w:hAnsi="Times New Roman" w:cs="Times New Roman"/>
        </w:rPr>
        <w:t>为保障安全运行所采取的安全技术措施和管理措施的完备性、科学性、有效性，以判定其是否具备国家规定的危险化学品生产单位的各项安全条件。</w:t>
      </w:r>
    </w:p>
    <w:p>
      <w:pPr>
        <w:ind w:firstLine="560" w:firstLineChars="200"/>
        <w:rPr>
          <w:rFonts w:hint="default" w:ascii="Times New Roman" w:hAnsi="Times New Roman" w:cs="Times New Roman"/>
        </w:rPr>
      </w:pPr>
      <w:r>
        <w:rPr>
          <w:rFonts w:hint="default" w:ascii="Times New Roman" w:hAnsi="Times New Roman" w:cs="Times New Roman"/>
        </w:rPr>
        <w:t>（3）安全评价报告是应急管理部门对企业安全状况进行审查的依据，也是应急管理部门对企业依法延期许可的重要技术依据。</w:t>
      </w:r>
    </w:p>
    <w:p>
      <w:pPr>
        <w:pStyle w:val="4"/>
        <w:rPr>
          <w:rFonts w:hint="default" w:ascii="Times New Roman" w:hAnsi="Times New Roman" w:cs="Times New Roman"/>
        </w:rPr>
      </w:pPr>
      <w:bookmarkStart w:id="8" w:name="_Toc19060"/>
      <w:r>
        <w:rPr>
          <w:rFonts w:hint="default" w:ascii="Times New Roman" w:hAnsi="Times New Roman" w:cs="Times New Roman"/>
        </w:rPr>
        <w:t>1.2评价原则</w:t>
      </w:r>
      <w:bookmarkEnd w:id="8"/>
    </w:p>
    <w:p>
      <w:pPr>
        <w:ind w:firstLine="560" w:firstLineChars="200"/>
        <w:rPr>
          <w:rFonts w:hint="default" w:ascii="Times New Roman" w:hAnsi="Times New Roman" w:cs="Times New Roman"/>
        </w:rPr>
      </w:pPr>
      <w:r>
        <w:rPr>
          <w:rFonts w:hint="default" w:ascii="Times New Roman" w:hAnsi="Times New Roman" w:cs="Times New Roman"/>
        </w:rPr>
        <w:t>安全评价基本原则是具备国家规定资质的安全评价机构科学、公正和合法地自主开展安全评价。同时遵循下列具体原则：</w:t>
      </w:r>
    </w:p>
    <w:p>
      <w:pPr>
        <w:ind w:firstLine="560" w:firstLineChars="200"/>
        <w:rPr>
          <w:rFonts w:hint="default" w:ascii="Times New Roman" w:hAnsi="Times New Roman" w:cs="Times New Roman"/>
        </w:rPr>
      </w:pPr>
      <w:r>
        <w:rPr>
          <w:rFonts w:hint="default" w:ascii="Times New Roman" w:hAnsi="Times New Roman" w:cs="Times New Roman"/>
        </w:rPr>
        <w:t>（1）认真贯彻国家现行安全生产法律、法规，严格执行国家标准与规范，力求评价的科学性与公正性。</w:t>
      </w:r>
    </w:p>
    <w:p>
      <w:pPr>
        <w:ind w:firstLine="560" w:firstLineChars="200"/>
        <w:rPr>
          <w:rFonts w:hint="default" w:ascii="Times New Roman" w:hAnsi="Times New Roman" w:cs="Times New Roman"/>
        </w:rPr>
      </w:pPr>
      <w:r>
        <w:rPr>
          <w:rFonts w:hint="default" w:ascii="Times New Roman" w:hAnsi="Times New Roman" w:cs="Times New Roman"/>
        </w:rPr>
        <w:t>（2）采用科学、适用的评价技术方法，力求使评价结论客观，符合项目的生产实际。</w:t>
      </w:r>
    </w:p>
    <w:p>
      <w:pPr>
        <w:ind w:firstLine="560" w:firstLineChars="200"/>
        <w:rPr>
          <w:rFonts w:hint="default" w:ascii="Times New Roman" w:hAnsi="Times New Roman" w:cs="Times New Roman"/>
        </w:rPr>
      </w:pPr>
      <w:r>
        <w:rPr>
          <w:rFonts w:hint="default" w:ascii="Times New Roman" w:hAnsi="Times New Roman" w:cs="Times New Roman"/>
        </w:rPr>
        <w:t>（3）深入现场，深入实际，充分发挥评价人员和有关专家的专业技术优势，在全面分析危险、有害因素的基础上，提出较为有效的安全对策措施。</w:t>
      </w:r>
    </w:p>
    <w:p>
      <w:pPr>
        <w:ind w:firstLine="560" w:firstLineChars="200"/>
        <w:rPr>
          <w:rFonts w:hint="default" w:ascii="Times New Roman" w:hAnsi="Times New Roman" w:cs="Times New Roman"/>
        </w:rPr>
      </w:pPr>
      <w:r>
        <w:rPr>
          <w:rFonts w:hint="default" w:ascii="Times New Roman" w:hAnsi="Times New Roman" w:cs="Times New Roman"/>
        </w:rPr>
        <w:t>（4）诚信、负责，为企业服务。</w:t>
      </w:r>
    </w:p>
    <w:p>
      <w:pPr>
        <w:pStyle w:val="4"/>
        <w:rPr>
          <w:rFonts w:hint="default" w:ascii="Times New Roman" w:hAnsi="Times New Roman" w:cs="Times New Roman"/>
        </w:rPr>
      </w:pPr>
      <w:bookmarkStart w:id="9" w:name="_Toc28954"/>
      <w:r>
        <w:rPr>
          <w:rFonts w:hint="default" w:ascii="Times New Roman" w:hAnsi="Times New Roman" w:cs="Times New Roman"/>
        </w:rPr>
        <w:t>1.3评价依据</w:t>
      </w:r>
      <w:bookmarkEnd w:id="9"/>
    </w:p>
    <w:p>
      <w:pPr>
        <w:pStyle w:val="5"/>
        <w:ind w:left="560"/>
        <w:rPr>
          <w:rFonts w:hint="default" w:ascii="Times New Roman" w:hAnsi="Times New Roman" w:cs="Times New Roman"/>
        </w:rPr>
      </w:pPr>
      <w:r>
        <w:rPr>
          <w:rFonts w:hint="default" w:ascii="Times New Roman" w:hAnsi="Times New Roman" w:cs="Times New Roman"/>
        </w:rPr>
        <w:t>1.3.1法律、法规</w:t>
      </w:r>
    </w:p>
    <w:p>
      <w:pPr>
        <w:ind w:firstLine="560" w:firstLineChars="200"/>
        <w:rPr>
          <w:rFonts w:hint="default" w:ascii="Times New Roman" w:hAnsi="Times New Roman" w:cs="Times New Roman"/>
        </w:rPr>
      </w:pPr>
      <w:r>
        <w:rPr>
          <w:rFonts w:hint="default" w:ascii="Times New Roman" w:hAnsi="Times New Roman" w:cs="Times New Roman"/>
        </w:rPr>
        <w:t>1、《中华人民共和国安全生产法》（主席令［2021］第88号，2021年6月10日第十三届全国人民代表大会常务委员会第二十九次会议通过，2021年9月1日起实施）</w:t>
      </w:r>
    </w:p>
    <w:p>
      <w:pPr>
        <w:ind w:firstLine="560" w:firstLineChars="200"/>
        <w:rPr>
          <w:rFonts w:hint="default" w:ascii="Times New Roman" w:hAnsi="Times New Roman" w:cs="Times New Roman"/>
        </w:rPr>
      </w:pPr>
      <w:r>
        <w:rPr>
          <w:rFonts w:hint="default" w:ascii="Times New Roman" w:hAnsi="Times New Roman" w:cs="Times New Roman"/>
        </w:rPr>
        <w:t>2、《中华人民共和国劳动法》（主席令［1994］第28号，1994年7月5日第八届全国人民代表大会常务委员会第八次会议通过，1995年1月1日起实施，主席令［2018］第24号修订）</w:t>
      </w:r>
    </w:p>
    <w:p>
      <w:pPr>
        <w:ind w:firstLine="560" w:firstLineChars="200"/>
        <w:rPr>
          <w:rFonts w:hint="default" w:ascii="Times New Roman" w:hAnsi="Times New Roman" w:cs="Times New Roman"/>
        </w:rPr>
      </w:pPr>
      <w:r>
        <w:rPr>
          <w:rFonts w:hint="default" w:ascii="Times New Roman" w:hAnsi="Times New Roman" w:cs="Times New Roman"/>
        </w:rPr>
        <w:t>3、《中华人民共和国消防法》（主席令［2008］第6号，2008年10月28日第十一届全国人民代表大会常务委员会第五次会议通过，2009年5月1日起实施，2021年4月29日第十三届全国人民代表大会常务委员会第二十八次会议修订）</w:t>
      </w:r>
    </w:p>
    <w:p>
      <w:pPr>
        <w:ind w:firstLine="560" w:firstLineChars="200"/>
        <w:rPr>
          <w:rFonts w:hint="default" w:ascii="Times New Roman" w:hAnsi="Times New Roman" w:cs="Times New Roman"/>
        </w:rPr>
      </w:pPr>
      <w:r>
        <w:rPr>
          <w:rFonts w:hint="default" w:ascii="Times New Roman" w:hAnsi="Times New Roman" w:cs="Times New Roman"/>
        </w:rPr>
        <w:t>4、《中华人民共和国职业病防治法》（2011年12月31日第十一届全国人民代表大会常务委员会第二十四次会议通过修改，2012年5月1日起实施，主席令［2016］第48号修改、主席令［2017］第81号再修改，2018年12月29日第十三届全国人民代表大会常务委员会第七次会议第四次修正）</w:t>
      </w:r>
    </w:p>
    <w:p>
      <w:pPr>
        <w:ind w:firstLine="560" w:firstLineChars="200"/>
        <w:rPr>
          <w:rFonts w:hint="default" w:ascii="Times New Roman" w:hAnsi="Times New Roman" w:cs="Times New Roman"/>
        </w:rPr>
      </w:pPr>
      <w:r>
        <w:rPr>
          <w:rFonts w:hint="default" w:ascii="Times New Roman" w:hAnsi="Times New Roman" w:cs="Times New Roman"/>
        </w:rPr>
        <w:t>5、《中华人民共和国特种设备安全法》（主席令［2013］第4号，2013年6月29日第十二届全国人民代表大会常务委员会第三次会议通过，2014年1月1日起实施）</w:t>
      </w:r>
    </w:p>
    <w:p>
      <w:pPr>
        <w:ind w:firstLine="560" w:firstLineChars="200"/>
        <w:rPr>
          <w:rFonts w:hint="default" w:ascii="Times New Roman" w:hAnsi="Times New Roman" w:cs="Times New Roman"/>
        </w:rPr>
      </w:pPr>
      <w:r>
        <w:rPr>
          <w:rFonts w:hint="default" w:ascii="Times New Roman" w:hAnsi="Times New Roman" w:cs="Times New Roman"/>
        </w:rPr>
        <w:t>6、《中华人民共和国防洪法》（国家主席令[1997]第88号，根据2016年7月2日第十二届全国人民代表大会常务委员会第二十一次会议《全国人民代表大会常务委员会关于修改〈中华人民共和国节约能源法〉等六部法律的决定》第三次修正）</w:t>
      </w:r>
    </w:p>
    <w:p>
      <w:pPr>
        <w:ind w:firstLine="560" w:firstLineChars="200"/>
        <w:rPr>
          <w:rFonts w:hint="default" w:ascii="Times New Roman" w:hAnsi="Times New Roman" w:cs="Times New Roman"/>
        </w:rPr>
      </w:pPr>
      <w:r>
        <w:rPr>
          <w:rFonts w:hint="default" w:ascii="Times New Roman" w:hAnsi="Times New Roman" w:cs="Times New Roman"/>
        </w:rPr>
        <w:t>7、《中华人民共和国突发事件应对法》（国家主席令[2007]第69号，由中华人民共和国第十届全国人民代表大会常务委员会第二十九次会议于2007年8月30日通过，自2007年11月1日起施行）</w:t>
      </w:r>
    </w:p>
    <w:p>
      <w:pPr>
        <w:ind w:firstLine="560" w:firstLineChars="200"/>
        <w:rPr>
          <w:rFonts w:hint="default" w:ascii="Times New Roman" w:hAnsi="Times New Roman" w:cs="Times New Roman"/>
        </w:rPr>
      </w:pPr>
      <w:r>
        <w:rPr>
          <w:rFonts w:hint="default" w:ascii="Times New Roman" w:hAnsi="Times New Roman" w:cs="Times New Roman"/>
        </w:rPr>
        <w:t>8、《危险化学品安全管理条例》（国务院令第591号，2011年12月1日起施行，2013年国务院令第645号修改）</w:t>
      </w:r>
    </w:p>
    <w:p>
      <w:pPr>
        <w:ind w:firstLine="560" w:firstLineChars="200"/>
        <w:rPr>
          <w:rFonts w:hint="default" w:ascii="Times New Roman" w:hAnsi="Times New Roman" w:cs="Times New Roman"/>
        </w:rPr>
      </w:pPr>
      <w:r>
        <w:rPr>
          <w:rFonts w:hint="default" w:ascii="Times New Roman" w:hAnsi="Times New Roman" w:cs="Times New Roman"/>
        </w:rPr>
        <w:t>9、《工伤保险条例》（国务院令第586号，2011年1月1日起施行）</w:t>
      </w:r>
    </w:p>
    <w:p>
      <w:pPr>
        <w:ind w:firstLine="560" w:firstLineChars="200"/>
        <w:rPr>
          <w:rFonts w:hint="default" w:ascii="Times New Roman" w:hAnsi="Times New Roman" w:cs="Times New Roman"/>
        </w:rPr>
      </w:pPr>
      <w:r>
        <w:rPr>
          <w:rFonts w:hint="default" w:ascii="Times New Roman" w:hAnsi="Times New Roman" w:cs="Times New Roman"/>
        </w:rPr>
        <w:t>10、《劳动保障监察条例》（国务院令第423号，2004年12月1日起施行）</w:t>
      </w:r>
    </w:p>
    <w:p>
      <w:pPr>
        <w:ind w:firstLine="560" w:firstLineChars="200"/>
        <w:rPr>
          <w:rFonts w:hint="default" w:ascii="Times New Roman" w:hAnsi="Times New Roman" w:cs="Times New Roman"/>
        </w:rPr>
      </w:pPr>
      <w:r>
        <w:rPr>
          <w:rFonts w:hint="default" w:ascii="Times New Roman" w:hAnsi="Times New Roman" w:cs="Times New Roman"/>
        </w:rPr>
        <w:t>11、《使用有毒物品作业场所劳动保护条例》（国务院令第352号，2002年4月30日起施行）</w:t>
      </w:r>
    </w:p>
    <w:p>
      <w:pPr>
        <w:ind w:firstLine="560" w:firstLineChars="200"/>
        <w:rPr>
          <w:rFonts w:hint="default" w:ascii="Times New Roman" w:hAnsi="Times New Roman" w:cs="Times New Roman"/>
        </w:rPr>
      </w:pPr>
      <w:r>
        <w:rPr>
          <w:rFonts w:hint="default" w:ascii="Times New Roman" w:hAnsi="Times New Roman" w:cs="Times New Roman"/>
        </w:rPr>
        <w:t>12、《中华人民共和国监控化学品管理条例》（国务院令第190号，1995年12月27日起施行，2011年588号令修订）</w:t>
      </w:r>
    </w:p>
    <w:p>
      <w:pPr>
        <w:ind w:firstLine="560" w:firstLineChars="200"/>
        <w:rPr>
          <w:rFonts w:hint="default" w:ascii="Times New Roman" w:hAnsi="Times New Roman" w:cs="Times New Roman"/>
        </w:rPr>
      </w:pPr>
      <w:r>
        <w:rPr>
          <w:rFonts w:hint="default" w:ascii="Times New Roman" w:hAnsi="Times New Roman" w:cs="Times New Roman"/>
        </w:rPr>
        <w:t>13、《易制毒化学品管理条例》（国务院令第445号，2005年11月1日起施行，2014年国务院令653号、2016年国务院令第666号修订、2018年国务院令第703号修订）</w:t>
      </w:r>
    </w:p>
    <w:p>
      <w:pPr>
        <w:ind w:firstLine="560" w:firstLineChars="200"/>
        <w:rPr>
          <w:rFonts w:hint="default" w:ascii="Times New Roman" w:hAnsi="Times New Roman" w:cs="Times New Roman"/>
        </w:rPr>
      </w:pPr>
      <w:r>
        <w:rPr>
          <w:rFonts w:hint="default" w:ascii="Times New Roman" w:hAnsi="Times New Roman" w:cs="Times New Roman"/>
        </w:rPr>
        <w:t>14、《铁路安全管理条例》（国务院令第639号，2014年1月1日起施行）</w:t>
      </w:r>
    </w:p>
    <w:p>
      <w:pPr>
        <w:ind w:firstLine="560" w:firstLineChars="200"/>
        <w:rPr>
          <w:rFonts w:hint="default" w:ascii="Times New Roman" w:hAnsi="Times New Roman" w:cs="Times New Roman"/>
        </w:rPr>
      </w:pPr>
      <w:r>
        <w:rPr>
          <w:rFonts w:hint="default" w:ascii="Times New Roman" w:hAnsi="Times New Roman" w:cs="Times New Roman"/>
        </w:rPr>
        <w:t>15、《公路安全保护条例》（国务院令第593号，2011年7月1日起施行）</w:t>
      </w:r>
    </w:p>
    <w:p>
      <w:pPr>
        <w:ind w:firstLine="560" w:firstLineChars="200"/>
        <w:rPr>
          <w:rFonts w:hint="default" w:ascii="Times New Roman" w:hAnsi="Times New Roman" w:cs="Times New Roman"/>
        </w:rPr>
      </w:pPr>
      <w:r>
        <w:rPr>
          <w:rFonts w:hint="default" w:ascii="Times New Roman" w:hAnsi="Times New Roman" w:cs="Times New Roman"/>
        </w:rPr>
        <w:t>16、《国务院关于特大安全事故行政责任追究的规定》（国务院令第302号，2001年4月21日起实施）</w:t>
      </w:r>
    </w:p>
    <w:p>
      <w:pPr>
        <w:ind w:firstLine="560" w:firstLineChars="200"/>
        <w:rPr>
          <w:rFonts w:hint="default" w:ascii="Times New Roman" w:hAnsi="Times New Roman" w:cs="Times New Roman"/>
        </w:rPr>
      </w:pPr>
      <w:r>
        <w:rPr>
          <w:rFonts w:hint="default" w:ascii="Times New Roman" w:hAnsi="Times New Roman" w:cs="Times New Roman"/>
        </w:rPr>
        <w:t>17、《生产安全事故应急条例》（国务院令第708号，2018年12月5日国务院第33次常务会议通过，自2019年4月1日起施行）</w:t>
      </w:r>
    </w:p>
    <w:p>
      <w:pPr>
        <w:ind w:firstLine="560" w:firstLineChars="200"/>
        <w:rPr>
          <w:rFonts w:hint="default" w:ascii="Times New Roman" w:hAnsi="Times New Roman" w:cs="Times New Roman"/>
        </w:rPr>
      </w:pPr>
      <w:r>
        <w:rPr>
          <w:rFonts w:hint="default" w:ascii="Times New Roman" w:hAnsi="Times New Roman" w:cs="Times New Roman"/>
        </w:rPr>
        <w:t>18、《江西省安全生产条例》（2017年7月26日江西省第十二届人民代表大会常务委员会第三十四次会议修订）</w:t>
      </w:r>
    </w:p>
    <w:p>
      <w:pPr>
        <w:ind w:firstLine="560" w:firstLineChars="200"/>
        <w:rPr>
          <w:rFonts w:hint="default" w:ascii="Times New Roman" w:hAnsi="Times New Roman" w:cs="Times New Roman"/>
        </w:rPr>
      </w:pPr>
      <w:r>
        <w:rPr>
          <w:rFonts w:hint="default" w:ascii="Times New Roman" w:hAnsi="Times New Roman" w:cs="Times New Roman"/>
        </w:rPr>
        <w:t>19、《江西省消防条例》（江西省人大常委会公号第57号，2010年11月9日起实施，2020年修订）</w:t>
      </w:r>
    </w:p>
    <w:p>
      <w:pPr>
        <w:ind w:firstLine="560" w:firstLineChars="200"/>
        <w:rPr>
          <w:rFonts w:hint="default" w:ascii="Times New Roman" w:hAnsi="Times New Roman" w:cs="Times New Roman"/>
        </w:rPr>
      </w:pPr>
      <w:r>
        <w:rPr>
          <w:rFonts w:hint="default" w:ascii="Times New Roman" w:hAnsi="Times New Roman" w:cs="Times New Roman"/>
        </w:rPr>
        <w:t>20、《特种设备安全监察条例》（国务院令第549号，2009年5月1日起施行）</w:t>
      </w:r>
    </w:p>
    <w:p>
      <w:pPr>
        <w:ind w:firstLine="560" w:firstLineChars="200"/>
        <w:rPr>
          <w:rFonts w:hint="default" w:ascii="Times New Roman" w:hAnsi="Times New Roman" w:cs="Times New Roman"/>
        </w:rPr>
      </w:pPr>
      <w:r>
        <w:rPr>
          <w:rFonts w:hint="default" w:ascii="Times New Roman" w:hAnsi="Times New Roman" w:cs="Times New Roman"/>
        </w:rPr>
        <w:t>21、《安全生产许可证条例》（2004年1月7日国务院第34次常务会议通过，2014年7月29日国务院第54次常务会议修订）</w:t>
      </w:r>
    </w:p>
    <w:p>
      <w:pPr>
        <w:ind w:firstLine="560" w:firstLineChars="200"/>
        <w:rPr>
          <w:rFonts w:hint="default" w:ascii="Times New Roman" w:hAnsi="Times New Roman" w:cs="Times New Roman"/>
        </w:rPr>
      </w:pPr>
      <w:r>
        <w:rPr>
          <w:rFonts w:hint="default" w:ascii="Times New Roman" w:hAnsi="Times New Roman" w:cs="Times New Roman"/>
        </w:rPr>
        <w:t>22、《江西省特种设备安全条例》（2017年11月30日江西省第十二届人大常务委员会第三十六次会议通过，2018年3月1日起施行）</w:t>
      </w:r>
    </w:p>
    <w:p>
      <w:pPr>
        <w:ind w:firstLine="560" w:firstLineChars="200"/>
        <w:rPr>
          <w:rFonts w:hint="default" w:ascii="Times New Roman" w:hAnsi="Times New Roman" w:cs="Times New Roman"/>
        </w:rPr>
      </w:pPr>
      <w:r>
        <w:rPr>
          <w:rFonts w:hint="default" w:ascii="Times New Roman" w:hAnsi="Times New Roman" w:cs="Times New Roman"/>
        </w:rPr>
        <w:t>23、《江西省生产安全事故隐患排查治理办法》（江西省人民政府令第238号，2018年9月28日省人民政府第11次常务会议审议通过，自2018年12月1日起施行）</w:t>
      </w:r>
    </w:p>
    <w:p>
      <w:pPr>
        <w:ind w:firstLine="560" w:firstLineChars="200"/>
        <w:rPr>
          <w:rFonts w:hint="default" w:ascii="Times New Roman" w:hAnsi="Times New Roman" w:cs="Times New Roman"/>
        </w:rPr>
      </w:pPr>
      <w:r>
        <w:rPr>
          <w:rFonts w:hint="default" w:ascii="Times New Roman" w:hAnsi="Times New Roman" w:cs="Times New Roman"/>
        </w:rPr>
        <w:t>24、其他</w:t>
      </w:r>
    </w:p>
    <w:p>
      <w:pPr>
        <w:pStyle w:val="5"/>
        <w:ind w:left="560"/>
        <w:rPr>
          <w:rFonts w:hint="default" w:ascii="Times New Roman" w:hAnsi="Times New Roman" w:cs="Times New Roman"/>
        </w:rPr>
      </w:pPr>
      <w:r>
        <w:rPr>
          <w:rFonts w:hint="default" w:ascii="Times New Roman" w:hAnsi="Times New Roman" w:cs="Times New Roman"/>
        </w:rPr>
        <w:t>1.3.2部门规章及规范性文件</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《生产经营单位安全培训规定》国家安全生产监督管理总局2006年令第3号（国家安全生产监督管理总局80号令修改，2015年7月1日施行）</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《安全生产事故隐患排查治理暂行规定》国家安全生产监督管理总局令2007年第16号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《生产安全事故应急预案管理办法》（2016年6月3日国家安全生产监督管理总局令第88号公布，根据2019年7月11日应急管理部令第2号《应急管理部关于修改生产安全事故应急预案管理办法的决定》修正）</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《特种作业人员安全技术培训考核管理规定》原国家安全生产监督管理总局令2010年第30号（国家安全生产监督管理总局80号令修改）</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《建设项目安全设施“三同时”监督管理办法》原国家安全生产监督管理总局令2010年第36号（国家安全生产监督管理总局77号令修改）</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《危险化学品重大危险源监督管理暂行规定》原国家安全生产监督管理总局令2011年第40号（国家安全生产监督管理总局79号令修改）</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《危险化学品生产企业安全生产许可证实施办法》原国家安全生产监督管理总局令2011年第41号（国家安全生产监督管理总局89号令修改）</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《国家安全生产监督管理局关于&lt;危险化学品生产企业安全评价导则（试行）&gt;的通知》安监管危化字[2004]127号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《关于印发&lt;有限空间作业安全指导手册&gt;和4个专题系列折页的通知》应急厅函[2020]299号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《关于印发&lt;2021年危险化学品安全培训网络建设工作方案&gt;等四个文件的通知》应急危化二[2021]1号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《安全生产培训管理办法》国家安全生产监督管理总局令2011年第44号（国家安全生产监督管理总局80号令修改）</w:t>
      </w:r>
    </w:p>
    <w:p>
      <w:pPr>
        <w:numPr>
          <w:ilvl w:val="0"/>
          <w:numId w:val="2"/>
        </w:numPr>
        <w:ind w:left="425" w:leftChars="0" w:firstLine="536" w:firstLineChars="200"/>
        <w:rPr>
          <w:rFonts w:hint="default" w:ascii="Times New Roman" w:hAnsi="Times New Roman" w:cs="Times New Roman"/>
          <w:spacing w:val="-6"/>
          <w:sz w:val="28"/>
        </w:rPr>
      </w:pPr>
      <w:r>
        <w:rPr>
          <w:rFonts w:hint="default" w:ascii="Times New Roman" w:hAnsi="Times New Roman" w:cs="Times New Roman"/>
          <w:spacing w:val="-6"/>
          <w:sz w:val="28"/>
        </w:rPr>
        <w:t>《危险化学品建设项目安全监督管理办法》国家安全生产监督管理总局令2012年第45号（国家安全生产监督管理总局79号令修改）</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《危险化学品登记管理办法》国家安全生产监督管理总局令2012年第53号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《化学品物理危险性鉴定与分类管理办法》国家安全生产监督管理总局令2013年第60号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《国家安全监管总局关于加强化工过程安全管理的指导意见》国家安全监管总局安监总管三〔2013〕88号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《国家安全监管总局关于加强化工企业泄漏管理的指导意见》国家安全监管总局安监总管三〔2014〕94号</w:t>
      </w:r>
    </w:p>
    <w:p>
      <w:pPr>
        <w:numPr>
          <w:ilvl w:val="0"/>
          <w:numId w:val="2"/>
        </w:numPr>
        <w:ind w:left="425" w:leftChars="0" w:firstLine="536" w:firstLineChars="200"/>
        <w:rPr>
          <w:rFonts w:hint="default" w:ascii="Times New Roman" w:hAnsi="Times New Roman" w:cs="Times New Roman"/>
        </w:rPr>
      </w:pPr>
      <w:r>
        <w:rPr>
          <w:rFonts w:hint="default" w:ascii="Times New Roman" w:hAnsi="Times New Roman" w:cs="Times New Roman"/>
          <w:spacing w:val="-6"/>
          <w:sz w:val="28"/>
        </w:rPr>
        <w:t>《国</w:t>
      </w:r>
      <w:r>
        <w:rPr>
          <w:rFonts w:hint="default" w:ascii="Times New Roman" w:hAnsi="Times New Roman" w:cs="Times New Roman"/>
          <w:spacing w:val="-6"/>
          <w:sz w:val="28"/>
        </w:rPr>
        <w:t>家安全监管总局关于印发&lt;化工和危险化学品生产经营单位重大生产安全事故隐患判定标准（试行）&gt;和&lt;烟花爆竹生产经营单位重大生产安全事故隐患判定标准（试行）&gt;的通知》安监总管三〔2017〕121</w:t>
      </w:r>
      <w:r>
        <w:rPr>
          <w:rFonts w:hint="default" w:ascii="Times New Roman" w:hAnsi="Times New Roman" w:cs="Times New Roman"/>
        </w:rPr>
        <w:t>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《应急管理部关于印发危险化学品生产储存企业安全风险评估诊断分级指南（试行）的通知》应急〔2018〕19号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《应急管理部关于印发&lt;化工园区安全风险排查治理导则（试行）》和《危险化学品企业安全风险隐患排查治理导则&gt;的通知》应急〔2019〕78号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《关于认真学习和贯彻落实《国务院关于进一步加强企业安全生产工作的通知》的通知》国务院安委会办公室安委办〔2010〕15号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《国家发展改革委关于修改&lt;产业结构调整指导目录（2019年本）&gt;的决定》国家发展和改革委员会令第49号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《部分工业行业淘汰落后生产工艺装备和产品指导目录（2010年本）》中华人民共和国工业和信息化部工产业[2010]第122号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《淘汰落后危险化学品安全生产工艺技术设备目录（第一批）》应急厅[2020]38号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《应急管理部关于印发危险化学品企业安全分类整治目录（2020年）的通知》应急管理部[2020]84号</w:t>
      </w:r>
    </w:p>
    <w:p>
      <w:pPr>
        <w:numPr>
          <w:ilvl w:val="0"/>
          <w:numId w:val="2"/>
        </w:numPr>
        <w:ind w:left="425" w:leftChars="0" w:firstLine="536" w:firstLineChars="200"/>
        <w:rPr>
          <w:rFonts w:hint="default" w:ascii="Times New Roman" w:hAnsi="Times New Roman" w:cs="Times New Roman"/>
          <w:spacing w:val="-6"/>
          <w:sz w:val="28"/>
        </w:rPr>
      </w:pPr>
      <w:r>
        <w:rPr>
          <w:rFonts w:hint="default" w:ascii="Times New Roman" w:hAnsi="Times New Roman" w:cs="Times New Roman"/>
          <w:spacing w:val="-6"/>
          <w:sz w:val="28"/>
        </w:rPr>
        <w:t>《企业安全生产费用提取和使用管理办法》财资〔2022〕136号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《特种设备作业人员监督管理办法》国家质量监督检验检疫总局令第140号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《危险化学品企业安全风险隐患排查治理导则》应急管理部[2019]78号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《易制爆危险化学品治安管理办法》公安部令[2019]第154号</w:t>
      </w:r>
    </w:p>
    <w:p>
      <w:pPr>
        <w:numPr>
          <w:ilvl w:val="0"/>
          <w:numId w:val="2"/>
        </w:numPr>
        <w:ind w:left="425" w:leftChars="0" w:firstLine="560" w:firstLineChars="200"/>
        <w:rPr>
          <w:rFonts w:hint="default" w:ascii="Times New Roman" w:hAnsi="Times New Roman" w:eastAsia="宋体" w:cs="Times New Roman"/>
          <w:lang w:val="en-US" w:eastAsia="zh-CN"/>
        </w:rPr>
      </w:pPr>
      <w:r>
        <w:rPr>
          <w:rFonts w:hint="default" w:ascii="Times New Roman" w:hAnsi="Times New Roman" w:cs="Times New Roman"/>
          <w:lang w:eastAsia="zh-CN"/>
        </w:rPr>
        <w:t>《</w:t>
      </w:r>
      <w:r>
        <w:rPr>
          <w:rFonts w:hint="default" w:ascii="Times New Roman" w:hAnsi="Times New Roman" w:cs="Times New Roman"/>
          <w:lang w:val="en-US" w:eastAsia="zh-CN"/>
        </w:rPr>
        <w:t>江西省应急厅办公室关于进一步推动危险化学品（化工）企业自动化改造提升工作的通知》赣应急办字[2023]77号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《江西省生产安全事故隐患排查治理办法》江西省省政府令[2018]第238号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《关于贯彻落实《危险化学品重大危险源监督管理暂行规定》的通知》江西省安全生产监督管理局赣安监管二字〔2012〕29号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《江西省安监局关于印发江西省化工企业安全生产五十条禁令的通知》赣安监管二字〔2013〕15号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《江西省关于进一步加强高危行业企业生产安全事故应急预案管理规定（暂行）》赣安监管应急字[2012]63号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《高毒物品目录》（2003版）卫法监［2003］142号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《易制爆危险化学品名录》公安部（2017年版）</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《特种设备目录》质监总局2014年第114号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《危险化学品目录》（2022调整版）应急管理部会同十部门调整[2022]第8号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《应急管理部办公厅关于印发危险化学品企业重大危险源安全包保责任制办法（试行）的通知》应急厅〔2021〕12号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《国务院办公厅关于同意将N-苯乙基-4-哌啶酮、4-苯胺基-N-苯乙基哌啶、N-甲基-1-苯基-1-氯-2-丙胺、溴素、1-苯基-1-丙酮列入易制毒化学品品种目录的函》国办函〔2017〕120号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《首批重点监管的危险化工工艺目录》安监总管三［2009］116号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《第二批重点监管的危险化工工艺目录》安监总管三［2013］3号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《首批重点监管危险化学品名录》安监总管三［2011］95号</w:t>
      </w:r>
    </w:p>
    <w:p>
      <w:pPr>
        <w:numPr>
          <w:ilvl w:val="0"/>
          <w:numId w:val="2"/>
        </w:numPr>
        <w:ind w:left="425" w:leftChars="0" w:firstLine="536" w:firstLineChars="200"/>
        <w:rPr>
          <w:rFonts w:hint="default" w:ascii="Times New Roman" w:hAnsi="Times New Roman" w:cs="Times New Roman"/>
          <w:spacing w:val="-6"/>
          <w:sz w:val="28"/>
        </w:rPr>
      </w:pPr>
      <w:r>
        <w:rPr>
          <w:rFonts w:hint="default" w:ascii="Times New Roman" w:hAnsi="Times New Roman" w:cs="Times New Roman"/>
          <w:spacing w:val="-6"/>
          <w:sz w:val="28"/>
        </w:rPr>
        <w:t>《第二批重点监管危险化学品名录》安监总管三［2013］12号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《特别管控危险化学品目录》2020年第一版</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《各类监控化学品名录》工信部[2020]52号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《部分第四类监控化学品名录（2019版）》国家禁化武办</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《江西省危险化学品建设项目安全监督管理实施细则（试行）》赣应急字[2021]100号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《关于公布全省化工园区名单（第一批）的通知》赣工信石化字〔2021〕92号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《江西省危险化学品安全专项整治三年行动实施方案》（赣安〔2020〕6号）</w:t>
      </w:r>
    </w:p>
    <w:p>
      <w:pPr>
        <w:numPr>
          <w:ilvl w:val="0"/>
          <w:numId w:val="2"/>
        </w:numPr>
        <w:ind w:left="425" w:leftChars="0" w:firstLine="560" w:firstLineChars="200"/>
        <w:rPr>
          <w:rFonts w:hint="default" w:ascii="Times New Roman" w:hAnsi="Times New Roman" w:cs="Times New Roman"/>
        </w:rPr>
      </w:pPr>
      <w:r>
        <w:rPr>
          <w:rFonts w:hint="default" w:ascii="Times New Roman" w:hAnsi="Times New Roman" w:cs="Times New Roman"/>
        </w:rPr>
        <w:t>《江西省应急管理厅关于印发&lt;江西省化工企业自动化提升实施方案&gt;（施行）的通知》赣应急厅[2021]190号</w:t>
      </w:r>
    </w:p>
    <w:p>
      <w:pPr>
        <w:ind w:firstLine="560" w:firstLineChars="200"/>
        <w:rPr>
          <w:rFonts w:hint="default" w:ascii="Times New Roman" w:hAnsi="Times New Roman" w:cs="Times New Roman"/>
        </w:rPr>
      </w:pPr>
      <w:r>
        <w:rPr>
          <w:rFonts w:hint="default" w:ascii="Times New Roman" w:hAnsi="Times New Roman" w:cs="Times New Roman"/>
        </w:rPr>
        <w:t>其他</w:t>
      </w:r>
    </w:p>
    <w:p>
      <w:pPr>
        <w:pStyle w:val="5"/>
        <w:ind w:left="560"/>
        <w:rPr>
          <w:rFonts w:hint="default" w:ascii="Times New Roman" w:hAnsi="Times New Roman" w:cs="Times New Roman"/>
        </w:rPr>
      </w:pPr>
      <w:r>
        <w:rPr>
          <w:rFonts w:hint="default" w:ascii="Times New Roman" w:hAnsi="Times New Roman" w:cs="Times New Roman"/>
        </w:rPr>
        <w:t>1.3.3国家标准</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《建筑设计防火规范》GB50016-2014（2018年版）</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《石油化工可燃气体和有毒气体检测报警设计标准》GB/T50493-2019</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《建筑防火通用规范》GB55037-2022</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《工业企业总平面设计规范》GB50187-2012</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《化工企业总图运输设计规范》GB50489-2009</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《生产过程安全卫生要求总则》GB/T12801-2008</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《工业企业设计卫生标准》GBZ1-2010</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《企业职工伤亡事故分类》GB6441-</w:t>
      </w:r>
      <w:r>
        <w:rPr>
          <w:rFonts w:hint="eastAsia" w:cs="Times New Roman"/>
          <w:lang w:val="en-US" w:eastAsia="zh-CN"/>
        </w:rPr>
        <w:t>19</w:t>
      </w:r>
      <w:r>
        <w:rPr>
          <w:rFonts w:hint="default" w:ascii="Times New Roman" w:hAnsi="Times New Roman" w:cs="Times New Roman"/>
        </w:rPr>
        <w:t>86</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《危险化学品生产装置和储存设施风险基准》GB36894-2018</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《危险化学品生产装置和储存设施外部安全防护距离确定方法》GB/T37243-2019</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《建筑抗震设计规范》GB50011-2010（2016年版）</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《构筑物抗震设计规范》GB50191-2012</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《建筑工程抗震设防分类标准》GB50223-2008</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《化学工业建（构）筑物抗震设防分类标准》GB50914-2013</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《建筑物防雷设计规范》GB50057-2010</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《建筑灭火器配置设计规范》GB50140-2005</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《国家电气设备安全技术规范》GB19517-2009</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《电气装置安装工程 接地装置施工及验收规范》GB50169-2016</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《工业管道的基本识别色、识别符号和安全标识》GB7231-2003</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《危险货物分类和品名编号》GB6944-2012</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《火灾自动报警系统设计规范》GB50116-2013</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《工作场所有害因素职业接触限值 第1部分：化学有害因素》GBZ2.1-2019</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《工作场所有害因素职业接触限值 第2部分：物理因素》GBZ2.2-2007</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《生产设备安全卫生设计总则》GB5083-1999</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《危险化学品重大危险源辨识》GB18218-2018</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《20kV及以下变电所设计规范》GB50053-2013</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《供配电系统设计规范》GB50052-2009</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《职业性接触毒物危害程度分级》GBZ230-2010</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《系统接地的型式及安全技术要求》GB14050-2008</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《用电安全导则》GB/T13869-2017</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《工业建筑供暖通风与空气调节设计规范》GB50019-2015</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《工业企业厂内铁路、道路运输安全规程》GB4387-2008</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《机械安全 防护装置 固定式和活动式防护装置的设计与制造一般要求》GB/T8196-2018</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《固定式钢梯及平台安全要求 第1部分：钢直梯》GB4053.1-2009</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《固定式钢梯及平台安全要求 第2部分：钢斜梯》GB4053.2-2009</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《固定式钢梯及平台安全要求 第3部分：工业防护栏杆及钢平台》GB4053.3-2009</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《安全色》GB2893-2008</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《安全标志及其使用导则》GB2894-2008</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《危险货物包装标志》GB190-2009</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《化学品分类和标签规范(1~18部分)》GB30000-2013</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《生产过程危险和有害因素分类与代码》GB/T13861-2022</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《化学品分类和危险性公示 通则》GB13690-2009</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《危险化学品仓库储存通则》GB15603-</w:t>
      </w:r>
      <w:r>
        <w:rPr>
          <w:rFonts w:hint="default" w:ascii="Times New Roman" w:hAnsi="Times New Roman" w:cs="Times New Roman"/>
          <w:lang w:val="en-US" w:eastAsia="zh-CN"/>
        </w:rPr>
        <w:t>2022</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《毒害性商品储存养护技术条件》GB17916-2013</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《机械安全 防止上下肢触及危险区的安全距离》GB</w:t>
      </w:r>
      <w:r>
        <w:rPr>
          <w:rFonts w:hint="eastAsia" w:cs="Times New Roman"/>
          <w:lang w:val="en-US" w:eastAsia="zh-CN"/>
        </w:rPr>
        <w:t>/T</w:t>
      </w:r>
      <w:r>
        <w:rPr>
          <w:rFonts w:hint="default" w:ascii="Times New Roman" w:hAnsi="Times New Roman" w:cs="Times New Roman"/>
        </w:rPr>
        <w:t>23821-20</w:t>
      </w:r>
      <w:r>
        <w:rPr>
          <w:rFonts w:hint="eastAsia" w:cs="Times New Roman"/>
          <w:lang w:val="en-US" w:eastAsia="zh-CN"/>
        </w:rPr>
        <w:t>22</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《电力装置的继电保护和自动装置设计规范》GB/T50062-2008</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《设备及管道绝热技术通则》GB/T4272-2008</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《工业企业噪声控制设计规范》GB/T50087-2013</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《建筑照明设计标准》GB50034-2013</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《建筑给水排水设计标准》GB50015-2019</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《工业设备及管道防腐蚀工程施工规范》GB50726-2011</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《消防安全标志 第1部分：标志》GB13495.1-2015</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《化学品生产单位特殊作业安全规范》GB30871-20</w:t>
      </w:r>
      <w:r>
        <w:rPr>
          <w:rFonts w:hint="default" w:ascii="Times New Roman" w:hAnsi="Times New Roman" w:cs="Times New Roman"/>
          <w:lang w:val="en-US" w:eastAsia="zh-CN"/>
        </w:rPr>
        <w:t>22</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《生产经营单位生产安全事故应急预案编制导则》GB/T29639-2020</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《危险化学品单位应急救援物资配备要求》GB30077-2013</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《石油化工工厂信息系统设计规范》GB/T50609-2010</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《石油化工安全仪表系统设计规范》GB/T50770-2013</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《危险货物品名表》GB12268-2012</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《建筑采光设计标准》GB50033-2013</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《个体防护装备配备规范 第1部分：总则》GB 39800.1-2020</w:t>
      </w:r>
    </w:p>
    <w:p>
      <w:pPr>
        <w:numPr>
          <w:ilvl w:val="0"/>
          <w:numId w:val="3"/>
        </w:numPr>
        <w:ind w:firstLine="560" w:firstLineChars="200"/>
        <w:rPr>
          <w:rFonts w:hint="default" w:ascii="Times New Roman" w:hAnsi="Times New Roman" w:cs="Times New Roman"/>
        </w:rPr>
      </w:pPr>
      <w:r>
        <w:rPr>
          <w:rFonts w:hint="eastAsia" w:cs="Times New Roman"/>
          <w:lang w:eastAsia="zh-CN"/>
        </w:rPr>
        <w:t>《个体防护装备配备规范 第2部分：石油、化工、天然气》</w:t>
      </w:r>
      <w:r>
        <w:rPr>
          <w:rFonts w:hint="default" w:ascii="Times New Roman" w:hAnsi="Times New Roman" w:cs="Times New Roman"/>
        </w:rPr>
        <w:t>GB 39800.2-2020</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《压力容器》GB150.1～GB150.4-2011</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《压力管道规范 工业管道 第一部分：总则》GB/T20801.1-2020</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《压力管道规范》GB/T20801.2～GB/T20801.6-20</w:t>
      </w:r>
      <w:r>
        <w:rPr>
          <w:rFonts w:hint="eastAsia" w:cs="Times New Roman"/>
          <w:lang w:val="en-US" w:eastAsia="zh-CN"/>
        </w:rPr>
        <w:t>20</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《缺氧危险作业安全规程》GB8958-2006</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《输送流体用无缝钢管》GB/T8163-2018</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《危险货物运输包装通用技术条件》GB12463-2009</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《工业金属管道设计规范》GB50316-2000（2008版）</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《消防给水及消火栓系统技术规范》GB50974-2014</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《危险化学品单位应急救援物资配备要求》GB30077-2013</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《腐蚀性商品储存养护技术条件》GB17915-2013</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《眼面部防护 应急喷淋和洗眼设备第1部分：技术要求》GB/T38144.1-2019</w:t>
      </w:r>
    </w:p>
    <w:p>
      <w:pPr>
        <w:numPr>
          <w:ilvl w:val="0"/>
          <w:numId w:val="3"/>
        </w:numPr>
        <w:ind w:firstLine="560" w:firstLineChars="200"/>
        <w:rPr>
          <w:rFonts w:hint="default" w:ascii="Times New Roman" w:hAnsi="Times New Roman" w:cs="Times New Roman"/>
        </w:rPr>
      </w:pPr>
      <w:r>
        <w:rPr>
          <w:rFonts w:hint="default" w:ascii="Times New Roman" w:hAnsi="Times New Roman" w:cs="Times New Roman"/>
        </w:rPr>
        <w:t>《眼面部防护 应急喷淋和洗眼设备第2部分：使用指南》GB/T38144.2-2019</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其它相关的国家和行业的标准、规定。</w:t>
      </w:r>
    </w:p>
    <w:p>
      <w:pPr>
        <w:pStyle w:val="5"/>
        <w:pageBreakBefore w:val="0"/>
        <w:widowControl w:val="0"/>
        <w:kinsoku/>
        <w:wordWrap/>
        <w:overflowPunct/>
        <w:topLinePunct w:val="0"/>
        <w:autoSpaceDE/>
        <w:autoSpaceDN/>
        <w:bidi w:val="0"/>
        <w:adjustRightInd/>
        <w:snapToGrid/>
        <w:spacing w:line="580" w:lineRule="exact"/>
        <w:ind w:left="560"/>
        <w:textAlignment w:val="auto"/>
        <w:rPr>
          <w:rFonts w:hint="default" w:ascii="Times New Roman" w:hAnsi="Times New Roman" w:cs="Times New Roman"/>
        </w:rPr>
      </w:pPr>
      <w:r>
        <w:rPr>
          <w:rFonts w:hint="default" w:ascii="Times New Roman" w:hAnsi="Times New Roman" w:cs="Times New Roman"/>
        </w:rPr>
        <w:t>1.3.4行业标准</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1）《安全评价通则》AQ8001-2007</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2）《化工企业安全卫生设计规范》HG20571-2014</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）《化工设备基础设计规定》HG/T20643-2012</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）《化工设备、管道外防腐设计规范》HG/T20679-2014</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）《控制室设计规范》HG/T20508-2014</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）《仪表供电设计规范》HG/T20509-2014</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）《仪表供气设计规范》HG/T20510-2014</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）《场（厂）内专用机动车辆安全技术监察规程》TSGN0001-2017</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lang w:val="en-US" w:eastAsia="zh-CN"/>
        </w:rPr>
        <w:t>9</w:t>
      </w:r>
      <w:r>
        <w:rPr>
          <w:rFonts w:hint="default" w:ascii="Times New Roman" w:hAnsi="Times New Roman" w:cs="Times New Roman"/>
        </w:rPr>
        <w:t>）《分散型控制系统工程设计规范》HG/T20573-2012</w:t>
      </w:r>
    </w:p>
    <w:p>
      <w:pPr>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default" w:ascii="Times New Roman" w:hAnsi="Times New Roman" w:cs="Times New Roman"/>
        </w:rPr>
      </w:pPr>
      <w:r>
        <w:rPr>
          <w:rFonts w:hint="default" w:ascii="Times New Roman" w:hAnsi="Times New Roman" w:cs="Times New Roman"/>
          <w:lang w:val="en-US" w:eastAsia="zh-CN"/>
        </w:rPr>
        <w:t>10</w:t>
      </w:r>
      <w:r>
        <w:rPr>
          <w:rFonts w:hint="default" w:ascii="Times New Roman" w:hAnsi="Times New Roman" w:cs="Times New Roman"/>
        </w:rPr>
        <w:t>）《化工企业定量风险评价导则》AQ/T3046-2013</w:t>
      </w:r>
    </w:p>
    <w:p>
      <w:pPr>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1</w:t>
      </w:r>
      <w:r>
        <w:rPr>
          <w:rFonts w:hint="default" w:ascii="Times New Roman" w:hAnsi="Times New Roman" w:cs="Times New Roman"/>
        </w:rPr>
        <w:t>）《化工企业工艺安全管理实施导则》AQ/T3034-2010</w:t>
      </w:r>
    </w:p>
    <w:p>
      <w:pPr>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default" w:ascii="Times New Roman" w:hAnsi="Times New Roman" w:cs="Times New Roman"/>
        </w:rPr>
      </w:pPr>
      <w:r>
        <w:rPr>
          <w:rFonts w:hint="default" w:ascii="Times New Roman" w:hAnsi="Times New Roman" w:cs="Times New Roman"/>
          <w:lang w:val="en-US" w:eastAsia="zh-CN"/>
        </w:rPr>
        <w:t>12</w:t>
      </w:r>
      <w:r>
        <w:rPr>
          <w:rFonts w:hint="default" w:ascii="Times New Roman" w:hAnsi="Times New Roman" w:cs="Times New Roman"/>
        </w:rPr>
        <w:t>）《化工装置设备布置设计规定》HG/T20546-2009</w:t>
      </w:r>
    </w:p>
    <w:p>
      <w:pPr>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default" w:ascii="Times New Roman" w:hAnsi="Times New Roman" w:cs="Times New Roman"/>
          <w:lang w:val="zh-CN"/>
        </w:rPr>
      </w:pPr>
      <w:r>
        <w:rPr>
          <w:rFonts w:hint="default" w:ascii="Times New Roman" w:hAnsi="Times New Roman" w:cs="Times New Roman"/>
          <w:lang w:val="en-US" w:eastAsia="zh-CN"/>
        </w:rPr>
        <w:t>13）</w:t>
      </w:r>
      <w:r>
        <w:rPr>
          <w:rFonts w:hint="default" w:ascii="Times New Roman" w:hAnsi="Times New Roman" w:cs="Times New Roman"/>
        </w:rPr>
        <w:t>《酸类物质泄漏的处理处置方法第9部分氢氟酸》HG/T4335.9-2012</w:t>
      </w:r>
    </w:p>
    <w:p>
      <w:pPr>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default" w:ascii="Times New Roman" w:hAnsi="Times New Roman" w:cs="Times New Roman"/>
        </w:rPr>
      </w:pPr>
      <w:r>
        <w:rPr>
          <w:rFonts w:hint="default" w:ascii="Times New Roman" w:hAnsi="Times New Roman" w:cs="Times New Roman"/>
          <w:lang w:val="en-US" w:eastAsia="zh-CN"/>
        </w:rPr>
        <w:t>14）</w:t>
      </w:r>
      <w:r>
        <w:rPr>
          <w:rFonts w:hint="default" w:ascii="Times New Roman" w:hAnsi="Times New Roman" w:cs="Times New Roman"/>
        </w:rPr>
        <w:t>《危险化学品储罐区作业安全通则》AQ3018-2008</w:t>
      </w:r>
    </w:p>
    <w:p>
      <w:pPr>
        <w:numPr>
          <w:ilvl w:val="0"/>
          <w:numId w:val="0"/>
        </w:numPr>
        <w:spacing w:line="360" w:lineRule="auto"/>
        <w:ind w:firstLine="560" w:firstLineChars="200"/>
        <w:jc w:val="left"/>
        <w:rPr>
          <w:rFonts w:hint="default" w:ascii="Times New Roman" w:hAnsi="Times New Roman" w:cs="Times New Roman"/>
        </w:rPr>
      </w:pPr>
      <w:r>
        <w:rPr>
          <w:rFonts w:hint="default" w:ascii="Times New Roman" w:hAnsi="Times New Roman" w:cs="Times New Roman"/>
          <w:lang w:val="en-US" w:eastAsia="zh-CN"/>
        </w:rPr>
        <w:t>15）</w:t>
      </w:r>
      <w:r>
        <w:rPr>
          <w:rFonts w:hint="default" w:ascii="Times New Roman" w:hAnsi="Times New Roman" w:cs="Times New Roman"/>
          <w:lang w:val="zh-CN"/>
        </w:rPr>
        <w:t>《化工设备、管道外防腐设计规定》HG/T20679-</w:t>
      </w:r>
      <w:r>
        <w:rPr>
          <w:rFonts w:hint="default" w:ascii="Times New Roman" w:hAnsi="Times New Roman" w:cs="Times New Roman"/>
        </w:rPr>
        <w:t>2014</w:t>
      </w:r>
    </w:p>
    <w:p>
      <w:pPr>
        <w:pStyle w:val="3"/>
        <w:rPr>
          <w:rFonts w:hint="default" w:ascii="Times New Roman" w:hAnsi="Times New Roman" w:eastAsia="黑体" w:cs="Times New Roman"/>
          <w:lang w:eastAsia="zh-CN"/>
        </w:rPr>
      </w:pPr>
      <w:bookmarkStart w:id="10" w:name="_Toc15476"/>
      <w:r>
        <w:rPr>
          <w:rFonts w:hint="default" w:ascii="Times New Roman" w:hAnsi="Times New Roman" w:cs="Times New Roman"/>
        </w:rPr>
        <w:t>2企业</w:t>
      </w:r>
      <w:r>
        <w:rPr>
          <w:rFonts w:hint="default" w:ascii="Times New Roman" w:hAnsi="Times New Roman" w:cs="Times New Roman"/>
          <w:lang w:eastAsia="zh-CN"/>
        </w:rPr>
        <w:t>概况</w:t>
      </w:r>
      <w:bookmarkEnd w:id="10"/>
    </w:p>
    <w:p>
      <w:pPr>
        <w:pStyle w:val="4"/>
        <w:rPr>
          <w:rFonts w:hint="default" w:ascii="Times New Roman" w:hAnsi="Times New Roman" w:cs="Times New Roman"/>
          <w:lang w:eastAsia="zh-CN"/>
        </w:rPr>
      </w:pPr>
      <w:bookmarkStart w:id="11" w:name="_Toc32304"/>
      <w:r>
        <w:rPr>
          <w:rFonts w:hint="default" w:ascii="Times New Roman" w:hAnsi="Times New Roman" w:cs="Times New Roman"/>
        </w:rPr>
        <w:t>2.1企业</w:t>
      </w:r>
      <w:r>
        <w:rPr>
          <w:rFonts w:hint="default" w:ascii="Times New Roman" w:hAnsi="Times New Roman" w:cs="Times New Roman"/>
          <w:lang w:eastAsia="zh-CN"/>
        </w:rPr>
        <w:t>基本情况</w:t>
      </w:r>
      <w:bookmarkEnd w:id="11"/>
    </w:p>
    <w:p>
      <w:pPr>
        <w:pStyle w:val="5"/>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cs="Times New Roman"/>
          <w:lang w:val="en-US" w:eastAsia="zh-CN"/>
        </w:rPr>
        <w:t>2.1.1企业简介</w:t>
      </w:r>
    </w:p>
    <w:p>
      <w:pPr>
        <w:ind w:firstLine="560" w:firstLineChars="200"/>
        <w:rPr>
          <w:rFonts w:hint="default" w:ascii="Times New Roman" w:hAnsi="Times New Roman" w:cs="Times New Roman"/>
          <w:lang w:val="zh-CN"/>
        </w:rPr>
      </w:pPr>
      <w:r>
        <w:rPr>
          <w:rFonts w:hint="default" w:ascii="Times New Roman" w:hAnsi="Times New Roman" w:cs="Times New Roman"/>
        </w:rPr>
        <w:t>上饶市广氟医药化工有限公司位于江西省上饶市广丰区洋口镇青桥寒婆岭，是一家无机氟化盐生产企业。公司成立于2006年2月23日，属自然人投资或控股企业，</w:t>
      </w:r>
      <w:r>
        <w:rPr>
          <w:rFonts w:hint="eastAsia" w:cs="Times New Roman"/>
          <w:lang w:eastAsia="zh-CN"/>
        </w:rPr>
        <w:t>占地面积约30亩</w:t>
      </w:r>
      <w:r>
        <w:rPr>
          <w:rFonts w:hint="default" w:ascii="Times New Roman" w:hAnsi="Times New Roman" w:cs="Times New Roman"/>
        </w:rPr>
        <w:t>。法人代表：孔永明，企业注册资金1000万元</w:t>
      </w:r>
      <w:r>
        <w:rPr>
          <w:rFonts w:hint="default" w:ascii="Times New Roman" w:hAnsi="Times New Roman" w:cs="Times New Roman"/>
          <w:lang w:val="zh-CN"/>
        </w:rPr>
        <w:t>。</w:t>
      </w:r>
    </w:p>
    <w:p>
      <w:pPr>
        <w:ind w:firstLine="560" w:firstLineChars="200"/>
        <w:jc w:val="left"/>
        <w:rPr>
          <w:rFonts w:hint="default" w:ascii="Times New Roman" w:hAnsi="Times New Roman" w:cs="Times New Roman"/>
        </w:rPr>
      </w:pPr>
      <w:r>
        <w:rPr>
          <w:rFonts w:hint="default" w:ascii="Times New Roman" w:hAnsi="Times New Roman" w:cs="Times New Roman"/>
        </w:rPr>
        <w:t>上饶市广氟医药化工有限公司现有在役生产装置于2021年03月24日取得安全生产许可证，有效期至2023年08月25日，许可证编号：（赣）WH安许证字[2011]0635号，许可范围：氟硅酸钾（500t/a）、氟硅酸钡（50t/a）、氟硅酸镁（65t/a）、氟硅酸锌（50t/a）、氟硼酸钾（500t/a）、氟硼酸钠（260t/a）、氟硼酸锂（50t/a）、氟化钾（100t/a）、氟化氢钾（100t/a）、氟钛酸（100t/a）、氟锆酸（100t/a）、氟硅酸钠（500t/a）、氟化钡（500t/a）、氟化钠（50t/a）、氟化氢钠（500t/a）、有水氢氟酸（500t/a）、氟化锌（5t/a）、氟化锶（20t/a）、氟化锂（5t/a）、有水氟硼酸（100t/a）、氟铝酸钾（10t/a）、氟铝酸钠（5t/a）、有水氟硅酸（50t/a）；该公司自取证至今未发生重大安全事故。该公司于2022年11月25日取得由上饶市应急管理局颁发的安全标准化证书，证书编号：赣（经）AQBWHⅢ202200074，有效期至2025年11月24日。</w:t>
      </w:r>
    </w:p>
    <w:p>
      <w:pPr>
        <w:ind w:firstLine="560" w:firstLineChars="200"/>
        <w:rPr>
          <w:rFonts w:hint="default" w:ascii="Times New Roman" w:hAnsi="Times New Roman" w:cs="Times New Roman"/>
        </w:rPr>
      </w:pPr>
      <w:r>
        <w:rPr>
          <w:rFonts w:hint="default" w:ascii="Times New Roman" w:hAnsi="Times New Roman" w:cs="Times New Roman"/>
        </w:rPr>
        <w:t>上饶市广氟医药化工有限公司现有职工30人，管理人员2人。该公司主要负责人、安全管理人员共2人经过</w:t>
      </w:r>
      <w:r>
        <w:rPr>
          <w:rFonts w:hint="default" w:ascii="Times New Roman" w:hAnsi="Times New Roman" w:cs="Times New Roman"/>
          <w:lang w:eastAsia="zh-CN"/>
        </w:rPr>
        <w:t>上饶市应急</w:t>
      </w:r>
      <w:r>
        <w:rPr>
          <w:rFonts w:hint="default" w:ascii="Times New Roman" w:hAnsi="Times New Roman" w:cs="Times New Roman"/>
        </w:rPr>
        <w:t>管理局组织的危险化学品安全管理培训并经考试合格取得资格证书。特种作业人员</w:t>
      </w:r>
      <w:r>
        <w:rPr>
          <w:rFonts w:hint="default" w:ascii="Times New Roman" w:hAnsi="Times New Roman" w:cs="Times New Roman"/>
          <w:lang w:val="en-US" w:eastAsia="zh-CN"/>
        </w:rPr>
        <w:t>4</w:t>
      </w:r>
      <w:r>
        <w:rPr>
          <w:rFonts w:hint="default" w:ascii="Times New Roman" w:hAnsi="Times New Roman" w:cs="Times New Roman"/>
        </w:rPr>
        <w:t>人，其中</w:t>
      </w:r>
      <w:r>
        <w:rPr>
          <w:rFonts w:hint="eastAsia" w:cs="Times New Roman"/>
          <w:lang w:eastAsia="zh-CN"/>
        </w:rPr>
        <w:t>电工3人</w:t>
      </w:r>
      <w:r>
        <w:rPr>
          <w:rFonts w:hint="default" w:ascii="Times New Roman" w:hAnsi="Times New Roman" w:cs="Times New Roman"/>
        </w:rPr>
        <w:t>、熔化焊接与热切割作业</w:t>
      </w:r>
      <w:r>
        <w:rPr>
          <w:rFonts w:hint="default" w:ascii="Times New Roman" w:hAnsi="Times New Roman" w:cs="Times New Roman"/>
          <w:lang w:val="en-US" w:eastAsia="zh-CN"/>
        </w:rPr>
        <w:t>1</w:t>
      </w:r>
      <w:r>
        <w:rPr>
          <w:rFonts w:hint="default" w:ascii="Times New Roman" w:hAnsi="Times New Roman" w:cs="Times New Roman"/>
        </w:rPr>
        <w:t>人、叉车</w:t>
      </w:r>
      <w:r>
        <w:rPr>
          <w:rFonts w:hint="default" w:ascii="Times New Roman" w:hAnsi="Times New Roman" w:cs="Times New Roman"/>
          <w:lang w:val="en-US" w:eastAsia="zh-CN"/>
        </w:rPr>
        <w:t>2</w:t>
      </w:r>
      <w:r>
        <w:rPr>
          <w:rFonts w:hint="default" w:ascii="Times New Roman" w:hAnsi="Times New Roman" w:cs="Times New Roman"/>
        </w:rPr>
        <w:t>人。特种作业人员均持证上岗。</w:t>
      </w:r>
    </w:p>
    <w:p>
      <w:pPr>
        <w:ind w:firstLine="560" w:firstLineChars="200"/>
        <w:rPr>
          <w:rFonts w:hint="default" w:ascii="Times New Roman" w:hAnsi="Times New Roman" w:cs="Times New Roman"/>
        </w:rPr>
      </w:pPr>
      <w:r>
        <w:rPr>
          <w:rFonts w:hint="default" w:ascii="Times New Roman" w:hAnsi="Times New Roman" w:cs="Times New Roman"/>
        </w:rPr>
        <w:t>该公司于</w:t>
      </w:r>
      <w:r>
        <w:rPr>
          <w:rFonts w:hint="default" w:ascii="Times New Roman" w:hAnsi="Times New Roman" w:cs="Times New Roman"/>
          <w:lang w:eastAsia="zh-CN"/>
        </w:rPr>
        <w:t>2022年11月25日</w:t>
      </w:r>
      <w:r>
        <w:rPr>
          <w:rFonts w:hint="default" w:ascii="Times New Roman" w:hAnsi="Times New Roman" w:cs="Times New Roman"/>
        </w:rPr>
        <w:t>取得由</w:t>
      </w:r>
      <w:r>
        <w:rPr>
          <w:rFonts w:hint="default" w:ascii="Times New Roman" w:hAnsi="Times New Roman" w:cs="Times New Roman"/>
          <w:lang w:eastAsia="zh-CN"/>
        </w:rPr>
        <w:t>上饶市应急管理局</w:t>
      </w:r>
      <w:r>
        <w:rPr>
          <w:rFonts w:hint="default" w:ascii="Times New Roman" w:hAnsi="Times New Roman" w:cs="Times New Roman"/>
        </w:rPr>
        <w:t>颁发的安全标准化证书，证书编号：赣（经）</w:t>
      </w:r>
      <w:r>
        <w:rPr>
          <w:rFonts w:hint="default" w:ascii="Times New Roman" w:hAnsi="Times New Roman" w:cs="Times New Roman"/>
          <w:lang w:eastAsia="zh-CN"/>
        </w:rPr>
        <w:t>AQBWHⅢ202200074</w:t>
      </w:r>
      <w:r>
        <w:rPr>
          <w:rFonts w:hint="default" w:ascii="Times New Roman" w:hAnsi="Times New Roman" w:cs="Times New Roman"/>
        </w:rPr>
        <w:t>，有效期至</w:t>
      </w:r>
      <w:r>
        <w:rPr>
          <w:rFonts w:hint="default" w:ascii="Times New Roman" w:hAnsi="Times New Roman" w:cs="Times New Roman"/>
          <w:lang w:eastAsia="zh-CN"/>
        </w:rPr>
        <w:t>2025年11月24日</w:t>
      </w:r>
      <w:r>
        <w:rPr>
          <w:rFonts w:hint="default" w:ascii="Times New Roman" w:hAnsi="Times New Roman" w:cs="Times New Roman"/>
        </w:rPr>
        <w:t>。该公司生产安全事故应急预案于</w:t>
      </w:r>
      <w:r>
        <w:rPr>
          <w:rFonts w:hint="eastAsia" w:cs="Times New Roman"/>
          <w:lang w:eastAsia="zh-CN"/>
        </w:rPr>
        <w:t>2023年7月19日</w:t>
      </w:r>
      <w:r>
        <w:rPr>
          <w:rFonts w:hint="default" w:ascii="Times New Roman" w:hAnsi="Times New Roman" w:cs="Times New Roman"/>
        </w:rPr>
        <w:t>在上饶市应急管理局备案，备案编号为：</w:t>
      </w:r>
      <w:r>
        <w:rPr>
          <w:rFonts w:hint="eastAsia" w:cs="Times New Roman"/>
          <w:lang w:eastAsia="zh-CN"/>
        </w:rPr>
        <w:t>YJYA362325-2023-2080</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rPr>
        <w:t>该公司的在役生产装置涉及重点监管的危险化学品</w:t>
      </w:r>
      <w:r>
        <w:rPr>
          <w:rFonts w:hint="default" w:ascii="Times New Roman" w:hAnsi="Times New Roman" w:cs="Times New Roman"/>
          <w:lang w:eastAsia="zh-CN"/>
        </w:rPr>
        <w:t>氢氟酸</w:t>
      </w:r>
      <w:r>
        <w:rPr>
          <w:rFonts w:hint="default" w:ascii="Times New Roman" w:hAnsi="Times New Roman" w:cs="Times New Roman"/>
        </w:rPr>
        <w:t>，不涉及重点监管的危险工艺，各生产、储存单元均不构成重大危险源。</w:t>
      </w:r>
    </w:p>
    <w:p>
      <w:pPr>
        <w:ind w:firstLine="560" w:firstLineChars="200"/>
        <w:rPr>
          <w:rFonts w:hint="default" w:ascii="Times New Roman" w:hAnsi="Times New Roman" w:cs="Times New Roman"/>
        </w:rPr>
      </w:pPr>
      <w:r>
        <w:rPr>
          <w:rFonts w:hint="default" w:ascii="Times New Roman" w:hAnsi="Times New Roman" w:cs="Times New Roman"/>
        </w:rPr>
        <w:t>该公司自上次取证以来，未发生死亡事故，重大火灾、爆炸或多人中毒事故。</w:t>
      </w:r>
    </w:p>
    <w:p>
      <w:pPr>
        <w:pStyle w:val="5"/>
        <w:bidi w:val="0"/>
        <w:ind w:left="0" w:leftChars="0" w:firstLine="0" w:firstLineChars="0"/>
        <w:rPr>
          <w:rFonts w:hint="default" w:ascii="Times New Roman" w:hAnsi="Times New Roman" w:cs="Times New Roman"/>
        </w:rPr>
      </w:pPr>
      <w:r>
        <w:rPr>
          <w:rFonts w:hint="default" w:ascii="Times New Roman" w:hAnsi="Times New Roman" w:cs="Times New Roman"/>
        </w:rPr>
        <w:t>2.1.2 企业涉及</w:t>
      </w:r>
      <w:r>
        <w:rPr>
          <w:rFonts w:hint="default" w:ascii="Times New Roman" w:hAnsi="Times New Roman" w:cs="Times New Roman"/>
          <w:lang w:eastAsia="zh-CN"/>
        </w:rPr>
        <w:t>的在役</w:t>
      </w:r>
      <w:r>
        <w:rPr>
          <w:rFonts w:hint="default" w:ascii="Times New Roman" w:hAnsi="Times New Roman" w:cs="Times New Roman"/>
        </w:rPr>
        <w:t>生产装置情况</w:t>
      </w:r>
    </w:p>
    <w:p>
      <w:pPr>
        <w:jc w:val="center"/>
        <w:rPr>
          <w:rFonts w:hint="default" w:ascii="Times New Roman" w:hAnsi="Times New Roman" w:eastAsia="宋体" w:cs="Times New Roman"/>
        </w:rPr>
      </w:pPr>
      <w:r>
        <w:rPr>
          <w:rFonts w:hint="default" w:ascii="Times New Roman" w:hAnsi="Times New Roman" w:eastAsia="宋体" w:cs="Times New Roman"/>
        </w:rPr>
        <w:t>表2.1-</w:t>
      </w:r>
      <w:r>
        <w:rPr>
          <w:rFonts w:hint="default" w:ascii="Times New Roman" w:hAnsi="Times New Roman" w:cs="Times New Roman"/>
          <w:lang w:val="en-US" w:eastAsia="zh-CN"/>
        </w:rPr>
        <w:t>1</w:t>
      </w:r>
      <w:r>
        <w:rPr>
          <w:rFonts w:hint="default" w:ascii="Times New Roman" w:hAnsi="Times New Roman" w:eastAsia="宋体" w:cs="Times New Roman"/>
        </w:rPr>
        <w:t xml:space="preserve"> </w:t>
      </w:r>
      <w:r>
        <w:rPr>
          <w:rFonts w:hint="default" w:ascii="Times New Roman" w:hAnsi="Times New Roman" w:cs="Times New Roman"/>
          <w:lang w:eastAsia="zh-CN"/>
        </w:rPr>
        <w:t>在役</w:t>
      </w:r>
      <w:r>
        <w:rPr>
          <w:rFonts w:hint="default" w:ascii="Times New Roman" w:hAnsi="Times New Roman" w:eastAsia="宋体" w:cs="Times New Roman"/>
        </w:rPr>
        <w:t>生产装置情况一览表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6155"/>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7" w:type="pct"/>
            <w:vAlign w:val="center"/>
          </w:tcPr>
          <w:p>
            <w:pPr>
              <w:pStyle w:val="73"/>
              <w:spacing w:after="0"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场所名称</w:t>
            </w:r>
          </w:p>
        </w:tc>
        <w:tc>
          <w:tcPr>
            <w:tcW w:w="3315" w:type="pct"/>
            <w:vAlign w:val="center"/>
          </w:tcPr>
          <w:p>
            <w:pPr>
              <w:tabs>
                <w:tab w:val="left" w:pos="9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装置情况</w:t>
            </w:r>
            <w:r>
              <w:rPr>
                <w:rFonts w:hint="default" w:ascii="Times New Roman" w:hAnsi="Times New Roman" w:cs="Times New Roman"/>
                <w:sz w:val="21"/>
                <w:szCs w:val="21"/>
                <w:lang w:val="en-US" w:eastAsia="zh-CN"/>
              </w:rPr>
              <w:t>及产能情况</w:t>
            </w:r>
          </w:p>
        </w:tc>
        <w:tc>
          <w:tcPr>
            <w:tcW w:w="597" w:type="pct"/>
            <w:vAlign w:val="center"/>
          </w:tcPr>
          <w:p>
            <w:pPr>
              <w:tabs>
                <w:tab w:val="left" w:pos="90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7" w:type="pct"/>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101生产车间一</w:t>
            </w:r>
          </w:p>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（丁类）</w:t>
            </w:r>
          </w:p>
        </w:tc>
        <w:tc>
          <w:tcPr>
            <w:tcW w:w="3315" w:type="pct"/>
            <w:vAlign w:val="center"/>
          </w:tcPr>
          <w:p>
            <w:pPr>
              <w:tabs>
                <w:tab w:val="left" w:pos="9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氟硅酸钡（50t/a）、氟硅酸镁（65t/a）、氟硅酸锌（50t/a）</w:t>
            </w:r>
            <w:r>
              <w:rPr>
                <w:rFonts w:hint="default" w:ascii="Times New Roman" w:hAnsi="Times New Roman" w:cs="Times New Roman"/>
                <w:sz w:val="21"/>
                <w:szCs w:val="21"/>
                <w:lang w:eastAsia="zh-CN"/>
              </w:rPr>
              <w:t>、氟硼酸钾（500t/a）、氟硼酸钠（260t/a）、</w:t>
            </w:r>
            <w:r>
              <w:rPr>
                <w:rFonts w:hint="default" w:ascii="Times New Roman" w:hAnsi="Times New Roman" w:cs="Times New Roman"/>
                <w:sz w:val="21"/>
                <w:szCs w:val="21"/>
              </w:rPr>
              <w:t>氟硼酸锂（50t/a）、氟化钾（100t/a）、氟化氢钾（100t/a）、</w:t>
            </w:r>
            <w:r>
              <w:rPr>
                <w:rFonts w:hint="default" w:ascii="Times New Roman" w:hAnsi="Times New Roman" w:cs="Times New Roman"/>
                <w:sz w:val="21"/>
                <w:szCs w:val="21"/>
                <w:lang w:eastAsia="zh-CN"/>
              </w:rPr>
              <w:t>有水氢氟酸（500t/a）、氟化锌（5t/a）</w:t>
            </w:r>
          </w:p>
        </w:tc>
        <w:tc>
          <w:tcPr>
            <w:tcW w:w="597" w:type="pct"/>
            <w:vAlign w:val="center"/>
          </w:tcPr>
          <w:p>
            <w:pPr>
              <w:tabs>
                <w:tab w:val="left" w:pos="900"/>
              </w:tabs>
              <w:spacing w:line="240" w:lineRule="auto"/>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7" w:type="pct"/>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102生产车间二</w:t>
            </w:r>
          </w:p>
          <w:p>
            <w:pPr>
              <w:spacing w:line="240" w:lineRule="exact"/>
              <w:jc w:val="center"/>
              <w:rPr>
                <w:rFonts w:hint="default" w:ascii="Times New Roman" w:hAnsi="Times New Roman" w:cs="Times New Roman"/>
                <w:sz w:val="21"/>
                <w:szCs w:val="21"/>
                <w:lang w:eastAsia="zh-CN"/>
              </w:rPr>
            </w:pPr>
            <w:r>
              <w:rPr>
                <w:rFonts w:hint="default" w:ascii="Times New Roman" w:hAnsi="Times New Roman" w:cs="Times New Roman"/>
                <w:sz w:val="21"/>
                <w:szCs w:val="21"/>
              </w:rPr>
              <w:t>（丁类）</w:t>
            </w:r>
          </w:p>
        </w:tc>
        <w:tc>
          <w:tcPr>
            <w:tcW w:w="3315" w:type="pct"/>
            <w:vAlign w:val="center"/>
          </w:tcPr>
          <w:p>
            <w:pPr>
              <w:tabs>
                <w:tab w:val="left" w:pos="900"/>
              </w:tabs>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氟钛酸（100t/a）、氟锆酸（100t/a）、氟硅酸钠（500t/a）</w:t>
            </w:r>
            <w:r>
              <w:rPr>
                <w:rFonts w:hint="default" w:ascii="Times New Roman" w:hAnsi="Times New Roman" w:cs="Times New Roman"/>
                <w:sz w:val="21"/>
                <w:szCs w:val="21"/>
                <w:lang w:eastAsia="zh-CN"/>
              </w:rPr>
              <w:t>、</w:t>
            </w:r>
            <w:r>
              <w:rPr>
                <w:rFonts w:hint="default" w:ascii="Times New Roman" w:hAnsi="Times New Roman" w:cs="Times New Roman"/>
                <w:sz w:val="21"/>
                <w:szCs w:val="21"/>
              </w:rPr>
              <w:t>氟硅酸钾（500t/a）</w:t>
            </w:r>
            <w:r>
              <w:rPr>
                <w:rFonts w:hint="default" w:ascii="Times New Roman" w:hAnsi="Times New Roman" w:cs="Times New Roman"/>
                <w:sz w:val="21"/>
                <w:szCs w:val="21"/>
                <w:lang w:eastAsia="zh-CN"/>
              </w:rPr>
              <w:t>、有水氟硅酸（50t/a）、有水氟硼酸（100t/a）、氟化锶（20t/a）、氟化锂（5t/a）、氟化钡（500t/a）</w:t>
            </w:r>
          </w:p>
        </w:tc>
        <w:tc>
          <w:tcPr>
            <w:tcW w:w="597" w:type="pct"/>
            <w:vAlign w:val="center"/>
          </w:tcPr>
          <w:p>
            <w:pPr>
              <w:tabs>
                <w:tab w:val="left" w:pos="900"/>
              </w:tabs>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7" w:type="pct"/>
            <w:vAlign w:val="center"/>
          </w:tcPr>
          <w:p>
            <w:pPr>
              <w:spacing w:line="2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103生产车间三</w:t>
            </w:r>
          </w:p>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（丁类）</w:t>
            </w:r>
          </w:p>
        </w:tc>
        <w:tc>
          <w:tcPr>
            <w:tcW w:w="3315" w:type="pct"/>
            <w:vAlign w:val="center"/>
          </w:tcPr>
          <w:p>
            <w:pPr>
              <w:tabs>
                <w:tab w:val="left" w:pos="90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产品的烘干装置</w:t>
            </w:r>
          </w:p>
        </w:tc>
        <w:tc>
          <w:tcPr>
            <w:tcW w:w="597" w:type="pct"/>
            <w:vAlign w:val="center"/>
          </w:tcPr>
          <w:p>
            <w:pPr>
              <w:tabs>
                <w:tab w:val="left" w:pos="900"/>
              </w:tabs>
              <w:spacing w:line="240" w:lineRule="auto"/>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7" w:type="pct"/>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104生产车间四</w:t>
            </w:r>
          </w:p>
          <w:p>
            <w:pPr>
              <w:spacing w:line="240" w:lineRule="exact"/>
              <w:jc w:val="center"/>
              <w:rPr>
                <w:rFonts w:hint="default" w:ascii="Times New Roman" w:hAnsi="Times New Roman" w:cs="Times New Roman"/>
                <w:sz w:val="21"/>
                <w:szCs w:val="21"/>
                <w:lang w:eastAsia="zh-CN"/>
              </w:rPr>
            </w:pPr>
            <w:r>
              <w:rPr>
                <w:rFonts w:hint="default" w:ascii="Times New Roman" w:hAnsi="Times New Roman" w:cs="Times New Roman"/>
                <w:sz w:val="21"/>
                <w:szCs w:val="21"/>
              </w:rPr>
              <w:t>（丁类）</w:t>
            </w:r>
          </w:p>
        </w:tc>
        <w:tc>
          <w:tcPr>
            <w:tcW w:w="3315" w:type="pct"/>
            <w:vAlign w:val="center"/>
          </w:tcPr>
          <w:p>
            <w:pPr>
              <w:tabs>
                <w:tab w:val="left" w:pos="9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氟铝酸钾（10t/a）、氟铝酸钠（5t/a）、氟化钠（50t/a）、氟化氢钠（500t/a）</w:t>
            </w:r>
          </w:p>
        </w:tc>
        <w:tc>
          <w:tcPr>
            <w:tcW w:w="597" w:type="pct"/>
            <w:vAlign w:val="center"/>
          </w:tcPr>
          <w:p>
            <w:pPr>
              <w:tabs>
                <w:tab w:val="left" w:pos="900"/>
              </w:tabs>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7" w:type="pct"/>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105烘干车间</w:t>
            </w:r>
          </w:p>
          <w:p>
            <w:pPr>
              <w:spacing w:line="240" w:lineRule="exact"/>
              <w:jc w:val="center"/>
              <w:rPr>
                <w:rFonts w:hint="default" w:ascii="Times New Roman" w:hAnsi="Times New Roman" w:cs="Times New Roman"/>
                <w:sz w:val="21"/>
                <w:szCs w:val="21"/>
                <w:lang w:eastAsia="zh-CN"/>
              </w:rPr>
            </w:pPr>
            <w:r>
              <w:rPr>
                <w:rFonts w:hint="default" w:ascii="Times New Roman" w:hAnsi="Times New Roman" w:cs="Times New Roman"/>
                <w:sz w:val="21"/>
                <w:szCs w:val="21"/>
              </w:rPr>
              <w:t>（丁类）</w:t>
            </w:r>
          </w:p>
        </w:tc>
        <w:tc>
          <w:tcPr>
            <w:tcW w:w="3315" w:type="pct"/>
            <w:vAlign w:val="center"/>
          </w:tcPr>
          <w:p>
            <w:pPr>
              <w:tabs>
                <w:tab w:val="left" w:pos="900"/>
              </w:tabs>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产品的烘干装置</w:t>
            </w:r>
          </w:p>
        </w:tc>
        <w:tc>
          <w:tcPr>
            <w:tcW w:w="597" w:type="pct"/>
            <w:vAlign w:val="center"/>
          </w:tcPr>
          <w:p>
            <w:pPr>
              <w:tabs>
                <w:tab w:val="left" w:pos="900"/>
              </w:tabs>
              <w:spacing w:line="240" w:lineRule="auto"/>
              <w:jc w:val="center"/>
              <w:rPr>
                <w:rFonts w:hint="default" w:ascii="Times New Roman" w:hAnsi="Times New Roman" w:cs="Times New Roman"/>
                <w:sz w:val="21"/>
                <w:szCs w:val="21"/>
              </w:rPr>
            </w:pPr>
          </w:p>
        </w:tc>
      </w:tr>
    </w:tbl>
    <w:p>
      <w:pPr>
        <w:pStyle w:val="4"/>
        <w:rPr>
          <w:rFonts w:hint="default" w:ascii="Times New Roman" w:hAnsi="Times New Roman" w:cs="Times New Roman"/>
        </w:rPr>
      </w:pPr>
      <w:bookmarkStart w:id="12" w:name="_Toc26767"/>
      <w:r>
        <w:rPr>
          <w:rFonts w:hint="default" w:ascii="Times New Roman" w:hAnsi="Times New Roman" w:cs="Times New Roman"/>
        </w:rPr>
        <w:t>2.2厂址基本情况</w:t>
      </w:r>
      <w:bookmarkEnd w:id="12"/>
    </w:p>
    <w:p>
      <w:pPr>
        <w:pStyle w:val="5"/>
        <w:ind w:left="560"/>
        <w:rPr>
          <w:rFonts w:hint="default" w:ascii="Times New Roman" w:hAnsi="Times New Roman" w:cs="Times New Roman"/>
        </w:rPr>
      </w:pPr>
      <w:r>
        <w:rPr>
          <w:rFonts w:hint="default" w:ascii="Times New Roman" w:hAnsi="Times New Roman" w:cs="Times New Roman"/>
        </w:rPr>
        <w:t>2.2.1地理位置及周边情况</w:t>
      </w:r>
    </w:p>
    <w:p>
      <w:pPr>
        <w:ind w:firstLine="560" w:firstLineChars="200"/>
        <w:rPr>
          <w:rFonts w:hint="default" w:ascii="Times New Roman" w:hAnsi="Times New Roman" w:cs="Times New Roman"/>
        </w:rPr>
      </w:pPr>
      <w:r>
        <w:rPr>
          <w:rFonts w:hint="default" w:ascii="Times New Roman" w:hAnsi="Times New Roman" w:cs="Times New Roman"/>
        </w:rPr>
        <w:t>1、地理位置及交通</w:t>
      </w:r>
    </w:p>
    <w:p>
      <w:pPr>
        <w:spacing w:line="560" w:lineRule="exact"/>
        <w:ind w:firstLine="560" w:firstLineChars="200"/>
        <w:rPr>
          <w:rFonts w:hint="default" w:ascii="Times New Roman" w:hAnsi="Times New Roman" w:cs="Times New Roman"/>
        </w:rPr>
      </w:pPr>
      <w:r>
        <w:rPr>
          <w:rFonts w:hint="default" w:ascii="Times New Roman" w:hAnsi="Times New Roman" w:cs="Times New Roman"/>
        </w:rPr>
        <w:t>广丰区隶属</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"https://baike.sogou.com/lemma/ShowInnerLink.htm?lemmaId=42243&amp;ss_c=ssc.citiao.link" \t "https://baike.sogou.com/_blank" </w:instrText>
      </w:r>
      <w:r>
        <w:rPr>
          <w:rFonts w:hint="default" w:ascii="Times New Roman" w:hAnsi="Times New Roman" w:cs="Times New Roman"/>
        </w:rPr>
        <w:fldChar w:fldCharType="separate"/>
      </w:r>
      <w:r>
        <w:rPr>
          <w:rStyle w:val="33"/>
          <w:rFonts w:hint="default" w:ascii="Times New Roman" w:hAnsi="Times New Roman" w:cs="Times New Roman"/>
          <w:color w:val="auto"/>
          <w:szCs w:val="21"/>
          <w:u w:val="none"/>
          <w:shd w:val="clear" w:color="auto" w:fill="FFFFFF"/>
        </w:rPr>
        <w:t>江西省上饶市</w:t>
      </w:r>
      <w:r>
        <w:rPr>
          <w:rFonts w:hint="default" w:ascii="Times New Roman" w:hAnsi="Times New Roman" w:cs="Times New Roman"/>
        </w:rPr>
        <w:fldChar w:fldCharType="end"/>
      </w:r>
      <w:r>
        <w:rPr>
          <w:rFonts w:hint="default" w:ascii="Times New Roman" w:hAnsi="Times New Roman" w:cs="Times New Roman"/>
        </w:rPr>
        <w:t>，位于江西省东北部，东接浙江省</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"https://baike.sogou.com/lemma/ShowInnerLink.htm?lemmaId=64605192&amp;ss_c=ssc.citiao.link" \t "https://baike.sogou.com/_blank" </w:instrText>
      </w:r>
      <w:r>
        <w:rPr>
          <w:rFonts w:hint="default" w:ascii="Times New Roman" w:hAnsi="Times New Roman" w:cs="Times New Roman"/>
        </w:rPr>
        <w:fldChar w:fldCharType="separate"/>
      </w:r>
      <w:r>
        <w:rPr>
          <w:rStyle w:val="33"/>
          <w:rFonts w:hint="default" w:ascii="Times New Roman" w:hAnsi="Times New Roman" w:cs="Times New Roman"/>
          <w:color w:val="auto"/>
          <w:szCs w:val="21"/>
          <w:u w:val="none"/>
          <w:shd w:val="clear" w:color="auto" w:fill="FFFFFF"/>
        </w:rPr>
        <w:t>江山市</w:t>
      </w:r>
      <w:r>
        <w:rPr>
          <w:rFonts w:hint="default" w:ascii="Times New Roman" w:hAnsi="Times New Roman" w:cs="Times New Roman"/>
        </w:rPr>
        <w:fldChar w:fldCharType="end"/>
      </w:r>
      <w:r>
        <w:rPr>
          <w:rFonts w:hint="default" w:ascii="Times New Roman" w:hAnsi="Times New Roman" w:cs="Times New Roman"/>
        </w:rPr>
        <w:t>，北邻</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"https://baike.sogou.com/lemma/ShowInnerLink.htm?lemmaId=64990028&amp;ss_c=ssc.citiao.link" \t "https://baike.sogou.com/_blank" </w:instrText>
      </w:r>
      <w:r>
        <w:rPr>
          <w:rFonts w:hint="default" w:ascii="Times New Roman" w:hAnsi="Times New Roman" w:cs="Times New Roman"/>
        </w:rPr>
        <w:fldChar w:fldCharType="separate"/>
      </w:r>
      <w:r>
        <w:rPr>
          <w:rStyle w:val="33"/>
          <w:rFonts w:hint="default" w:ascii="Times New Roman" w:hAnsi="Times New Roman" w:cs="Times New Roman"/>
          <w:color w:val="auto"/>
          <w:szCs w:val="21"/>
          <w:u w:val="none"/>
          <w:shd w:val="clear" w:color="auto" w:fill="FFFFFF"/>
        </w:rPr>
        <w:t>玉山县</w:t>
      </w:r>
      <w:r>
        <w:rPr>
          <w:rFonts w:hint="default" w:ascii="Times New Roman" w:hAnsi="Times New Roman" w:cs="Times New Roman"/>
        </w:rPr>
        <w:fldChar w:fldCharType="end"/>
      </w:r>
      <w:r>
        <w:rPr>
          <w:rFonts w:hint="default" w:ascii="Times New Roman" w:hAnsi="Times New Roman" w:cs="Times New Roman"/>
        </w:rPr>
        <w:t>，西毗上饶市</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"https://baike.sogou.com/lemma/ShowInnerLink.htm?lemmaId=167652280&amp;ss_c=ssc.citiao.link" \t "https://baike.sogou.com/_blank" </w:instrText>
      </w:r>
      <w:r>
        <w:rPr>
          <w:rFonts w:hint="default" w:ascii="Times New Roman" w:hAnsi="Times New Roman" w:cs="Times New Roman"/>
        </w:rPr>
        <w:fldChar w:fldCharType="separate"/>
      </w:r>
      <w:r>
        <w:rPr>
          <w:rStyle w:val="33"/>
          <w:rFonts w:hint="default" w:ascii="Times New Roman" w:hAnsi="Times New Roman" w:cs="Times New Roman"/>
          <w:color w:val="auto"/>
          <w:szCs w:val="21"/>
          <w:u w:val="none"/>
          <w:shd w:val="clear" w:color="auto" w:fill="FFFFFF"/>
        </w:rPr>
        <w:t>上饶县</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"https://baike.sogou.com/lemma/ShowInnerLink.htm?lemmaId=80817&amp;ss_c=ssc.citiao.link" \t "https://baike.sogou.com/_blank" </w:instrText>
      </w:r>
      <w:r>
        <w:rPr>
          <w:rFonts w:hint="default" w:ascii="Times New Roman" w:hAnsi="Times New Roman" w:cs="Times New Roman"/>
        </w:rPr>
        <w:fldChar w:fldCharType="separate"/>
      </w:r>
      <w:r>
        <w:rPr>
          <w:rStyle w:val="33"/>
          <w:rFonts w:hint="default" w:ascii="Times New Roman" w:hAnsi="Times New Roman" w:cs="Times New Roman"/>
          <w:color w:val="auto"/>
          <w:szCs w:val="21"/>
          <w:u w:val="none"/>
          <w:shd w:val="clear" w:color="auto" w:fill="FFFFFF"/>
        </w:rPr>
        <w:t>信州区</w:t>
      </w:r>
      <w:r>
        <w:rPr>
          <w:rFonts w:hint="default" w:ascii="Times New Roman" w:hAnsi="Times New Roman" w:cs="Times New Roman"/>
        </w:rPr>
        <w:fldChar w:fldCharType="end"/>
      </w:r>
      <w:r>
        <w:rPr>
          <w:rFonts w:hint="default" w:ascii="Times New Roman" w:hAnsi="Times New Roman" w:cs="Times New Roman"/>
        </w:rPr>
        <w:t>，南接福建省浦城、崇安两县。广丰地处北纬28°3’30″—28°37’23’’，东经118°1′18″—118°29′15"，区境南北长62.5千米，东西宽45千米。</w:t>
      </w:r>
    </w:p>
    <w:p>
      <w:pPr>
        <w:spacing w:line="560" w:lineRule="exact"/>
        <w:ind w:firstLine="560" w:firstLineChars="200"/>
        <w:rPr>
          <w:rFonts w:hint="default" w:ascii="Times New Roman" w:hAnsi="Times New Roman" w:cs="Times New Roman"/>
        </w:rPr>
      </w:pPr>
      <w:r>
        <w:rPr>
          <w:rFonts w:hint="default" w:ascii="Times New Roman" w:hAnsi="Times New Roman" w:cs="Times New Roman"/>
        </w:rPr>
        <w:t>上饶市广氟医药化工有限公司位于江西省上饶市广丰区洋口镇青桥寒婆岭，地理坐标为东经118°4′52.4″，北纬28°23′43.2″。该</w:t>
      </w:r>
      <w:r>
        <w:rPr>
          <w:rFonts w:hint="eastAsia" w:cs="Times New Roman"/>
          <w:lang w:val="en-US" w:eastAsia="zh-CN"/>
        </w:rPr>
        <w:t>企业</w:t>
      </w:r>
      <w:r>
        <w:rPr>
          <w:rFonts w:hint="default" w:ascii="Times New Roman" w:hAnsi="Times New Roman" w:cs="Times New Roman"/>
        </w:rPr>
        <w:t>距洋口镇约2.7km，距上饶市广丰区约9km，距上饶市信江区约11km，距上饶市火车站约13km。北面280m处为S320省道，南邻丰溪河。S320省道与G320国道相连，对外交通联系便利。</w:t>
      </w:r>
    </w:p>
    <w:p>
      <w:pPr>
        <w:numPr>
          <w:ilvl w:val="0"/>
          <w:numId w:val="4"/>
        </w:numPr>
        <w:ind w:firstLine="560" w:firstLineChars="200"/>
        <w:rPr>
          <w:rFonts w:hint="default" w:ascii="Times New Roman" w:hAnsi="Times New Roman" w:cs="Times New Roman"/>
        </w:rPr>
      </w:pPr>
      <w:r>
        <w:rPr>
          <w:rFonts w:hint="default" w:ascii="Times New Roman" w:hAnsi="Times New Roman" w:cs="Times New Roman"/>
        </w:rPr>
        <w:t>厂址周边环境</w:t>
      </w:r>
    </w:p>
    <w:p>
      <w:pPr>
        <w:snapToGrid w:val="0"/>
        <w:spacing w:line="540" w:lineRule="exact"/>
        <w:ind w:firstLine="560" w:firstLineChars="200"/>
        <w:rPr>
          <w:rFonts w:hint="default" w:ascii="Times New Roman" w:hAnsi="Times New Roman" w:cs="Times New Roman"/>
          <w:kern w:val="1"/>
        </w:rPr>
      </w:pPr>
      <w:r>
        <w:rPr>
          <w:rFonts w:hint="default" w:ascii="Times New Roman" w:hAnsi="Times New Roman" w:cs="Times New Roman"/>
          <w:kern w:val="1"/>
        </w:rPr>
        <w:t>1）项目周边居民区分布情况</w:t>
      </w:r>
    </w:p>
    <w:p>
      <w:pPr>
        <w:snapToGrid w:val="0"/>
        <w:spacing w:line="540" w:lineRule="exact"/>
        <w:ind w:firstLine="560" w:firstLineChars="200"/>
        <w:rPr>
          <w:rFonts w:hint="default" w:ascii="Times New Roman" w:hAnsi="Times New Roman" w:cs="Times New Roman"/>
        </w:rPr>
      </w:pPr>
      <w:r>
        <w:rPr>
          <w:rFonts w:hint="default" w:ascii="Times New Roman" w:hAnsi="Times New Roman" w:cs="Times New Roman"/>
          <w:kern w:val="1"/>
        </w:rPr>
        <w:t>依据现场踏勘情况和该公司提供资料，该公司厂址位于</w:t>
      </w:r>
      <w:r>
        <w:rPr>
          <w:rFonts w:hint="default" w:ascii="Times New Roman" w:hAnsi="Times New Roman" w:cs="Times New Roman"/>
        </w:rPr>
        <w:t>上饶市广丰区洋口镇青桥寒婆岭</w:t>
      </w:r>
      <w:r>
        <w:rPr>
          <w:rFonts w:hint="default" w:ascii="Times New Roman" w:hAnsi="Times New Roman" w:cs="Times New Roman"/>
          <w:kern w:val="1"/>
        </w:rPr>
        <w:t>，周边500m范围居民区</w:t>
      </w:r>
      <w:r>
        <w:rPr>
          <w:rFonts w:hint="default" w:ascii="Times New Roman" w:hAnsi="Times New Roman" w:cs="Times New Roman"/>
          <w:kern w:val="1"/>
          <w:lang w:val="en-US" w:eastAsia="zh-CN"/>
        </w:rPr>
        <w:t>情况如下</w:t>
      </w:r>
      <w:r>
        <w:rPr>
          <w:rFonts w:hint="default" w:ascii="Times New Roman" w:hAnsi="Times New Roman" w:cs="Times New Roman"/>
          <w:kern w:val="1"/>
        </w:rPr>
        <w:t>。</w:t>
      </w:r>
    </w:p>
    <w:p>
      <w:pPr>
        <w:spacing w:line="360" w:lineRule="auto"/>
        <w:ind w:firstLine="560" w:firstLineChars="200"/>
        <w:jc w:val="center"/>
        <w:rPr>
          <w:rFonts w:hint="default" w:ascii="Times New Roman" w:hAnsi="Times New Roman" w:cs="Times New Roman"/>
          <w:snapToGrid w:val="0"/>
        </w:rPr>
      </w:pPr>
      <w:r>
        <w:rPr>
          <w:rFonts w:hint="default" w:ascii="Times New Roman" w:hAnsi="Times New Roman" w:cs="Times New Roman"/>
          <w:snapToGrid w:val="0"/>
        </w:rPr>
        <w:t>表2.2-3 周边人员密集场所情况一览表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2522"/>
        <w:gridCol w:w="1989"/>
        <w:gridCol w:w="1934"/>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pct"/>
            <w:noWrap w:val="0"/>
            <w:vAlign w:val="center"/>
          </w:tcPr>
          <w:p>
            <w:pPr>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方位</w:t>
            </w:r>
          </w:p>
        </w:tc>
        <w:tc>
          <w:tcPr>
            <w:tcW w:w="1358" w:type="pct"/>
            <w:noWrap w:val="0"/>
            <w:vAlign w:val="center"/>
          </w:tcPr>
          <w:p>
            <w:pPr>
              <w:spacing w:line="240" w:lineRule="auto"/>
              <w:jc w:val="center"/>
              <w:rPr>
                <w:rFonts w:hint="default" w:ascii="Times New Roman" w:hAnsi="Times New Roman" w:eastAsia="宋体" w:cs="Times New Roman"/>
                <w:bCs/>
                <w:kern w:val="0"/>
                <w:sz w:val="21"/>
                <w:szCs w:val="21"/>
                <w:lang w:eastAsia="zh-CN"/>
              </w:rPr>
            </w:pPr>
            <w:r>
              <w:rPr>
                <w:rFonts w:hint="default" w:ascii="Times New Roman" w:hAnsi="Times New Roman" w:eastAsia="宋体" w:cs="Times New Roman"/>
                <w:bCs/>
                <w:kern w:val="0"/>
                <w:sz w:val="21"/>
                <w:szCs w:val="21"/>
                <w:lang w:eastAsia="zh-CN"/>
              </w:rPr>
              <w:t>名称</w:t>
            </w:r>
          </w:p>
        </w:tc>
        <w:tc>
          <w:tcPr>
            <w:tcW w:w="1071" w:type="pct"/>
            <w:noWrap w:val="0"/>
            <w:vAlign w:val="center"/>
          </w:tcPr>
          <w:p>
            <w:pPr>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lang w:eastAsia="zh-CN"/>
              </w:rPr>
              <w:t>相对厂址距离</w:t>
            </w:r>
            <w:r>
              <w:rPr>
                <w:rFonts w:hint="default" w:ascii="Times New Roman" w:hAnsi="Times New Roman" w:eastAsia="宋体" w:cs="Times New Roman"/>
                <w:bCs/>
                <w:kern w:val="0"/>
                <w:sz w:val="21"/>
                <w:szCs w:val="21"/>
              </w:rPr>
              <w:t>（m）</w:t>
            </w:r>
          </w:p>
        </w:tc>
        <w:tc>
          <w:tcPr>
            <w:tcW w:w="1041" w:type="pct"/>
            <w:noWrap w:val="0"/>
            <w:vAlign w:val="center"/>
          </w:tcPr>
          <w:p>
            <w:pPr>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lang w:eastAsia="zh-CN"/>
              </w:rPr>
              <w:t>相对</w:t>
            </w:r>
            <w:r>
              <w:rPr>
                <w:rFonts w:hint="eastAsia" w:cs="Times New Roman"/>
                <w:bCs/>
                <w:kern w:val="0"/>
                <w:sz w:val="21"/>
                <w:szCs w:val="21"/>
                <w:lang w:val="en-US" w:eastAsia="zh-CN"/>
              </w:rPr>
              <w:t>装置</w:t>
            </w:r>
            <w:r>
              <w:rPr>
                <w:rFonts w:hint="default" w:ascii="Times New Roman" w:hAnsi="Times New Roman" w:eastAsia="宋体" w:cs="Times New Roman"/>
                <w:bCs/>
                <w:kern w:val="0"/>
                <w:sz w:val="21"/>
                <w:szCs w:val="21"/>
              </w:rPr>
              <w:t>距离（m）</w:t>
            </w:r>
          </w:p>
        </w:tc>
        <w:tc>
          <w:tcPr>
            <w:tcW w:w="1033" w:type="pct"/>
            <w:noWrap w:val="0"/>
            <w:vAlign w:val="center"/>
          </w:tcPr>
          <w:p>
            <w:pPr>
              <w:spacing w:line="240" w:lineRule="auto"/>
              <w:jc w:val="center"/>
              <w:rPr>
                <w:rFonts w:hint="default" w:ascii="Times New Roman" w:hAnsi="Times New Roman" w:eastAsia="宋体" w:cs="Times New Roman"/>
                <w:bCs/>
                <w:kern w:val="0"/>
                <w:sz w:val="21"/>
                <w:szCs w:val="21"/>
                <w:lang w:eastAsia="zh-CN"/>
              </w:rPr>
            </w:pPr>
            <w:r>
              <w:rPr>
                <w:rFonts w:hint="default" w:ascii="Times New Roman" w:hAnsi="Times New Roman" w:eastAsia="宋体" w:cs="Times New Roman"/>
                <w:bCs/>
                <w:kern w:val="0"/>
                <w:sz w:val="21"/>
                <w:szCs w:val="21"/>
                <w:lang w:eastAsia="zh-CN"/>
              </w:rPr>
              <w:t>最近建构筑物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pct"/>
            <w:vMerge w:val="restart"/>
            <w:noWrap w:val="0"/>
            <w:vAlign w:val="center"/>
          </w:tcPr>
          <w:p>
            <w:pPr>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北面</w:t>
            </w:r>
          </w:p>
        </w:tc>
        <w:tc>
          <w:tcPr>
            <w:tcW w:w="1358" w:type="pct"/>
            <w:noWrap w:val="0"/>
            <w:vAlign w:val="center"/>
          </w:tcPr>
          <w:p>
            <w:pPr>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寒婆岭民房（约100人）</w:t>
            </w:r>
          </w:p>
        </w:tc>
        <w:tc>
          <w:tcPr>
            <w:tcW w:w="1071" w:type="pct"/>
            <w:noWrap w:val="0"/>
            <w:vAlign w:val="center"/>
          </w:tcPr>
          <w:p>
            <w:pPr>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276</w:t>
            </w:r>
          </w:p>
        </w:tc>
        <w:tc>
          <w:tcPr>
            <w:tcW w:w="1041" w:type="pct"/>
            <w:noWrap w:val="0"/>
            <w:vAlign w:val="center"/>
          </w:tcPr>
          <w:p>
            <w:pPr>
              <w:spacing w:line="240" w:lineRule="auto"/>
              <w:jc w:val="center"/>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310</w:t>
            </w:r>
          </w:p>
        </w:tc>
        <w:tc>
          <w:tcPr>
            <w:tcW w:w="1033" w:type="pct"/>
            <w:noWrap w:val="0"/>
            <w:vAlign w:val="center"/>
          </w:tcPr>
          <w:p>
            <w:pPr>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101车间（丁类）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pct"/>
            <w:vMerge w:val="continue"/>
            <w:noWrap w:val="0"/>
            <w:vAlign w:val="center"/>
          </w:tcPr>
          <w:p>
            <w:pPr>
              <w:spacing w:line="240" w:lineRule="auto"/>
              <w:jc w:val="center"/>
              <w:rPr>
                <w:rFonts w:hint="default" w:ascii="Times New Roman" w:hAnsi="Times New Roman" w:eastAsia="宋体" w:cs="Times New Roman"/>
                <w:bCs/>
                <w:kern w:val="0"/>
                <w:sz w:val="21"/>
                <w:szCs w:val="21"/>
              </w:rPr>
            </w:pPr>
          </w:p>
        </w:tc>
        <w:tc>
          <w:tcPr>
            <w:tcW w:w="1358" w:type="pct"/>
            <w:noWrap w:val="0"/>
            <w:vAlign w:val="center"/>
          </w:tcPr>
          <w:p>
            <w:pPr>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瓦窑后民房（约150人）</w:t>
            </w:r>
          </w:p>
        </w:tc>
        <w:tc>
          <w:tcPr>
            <w:tcW w:w="1071" w:type="pct"/>
            <w:noWrap w:val="0"/>
            <w:vAlign w:val="center"/>
          </w:tcPr>
          <w:p>
            <w:pPr>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424</w:t>
            </w:r>
          </w:p>
        </w:tc>
        <w:tc>
          <w:tcPr>
            <w:tcW w:w="1041" w:type="pct"/>
            <w:noWrap w:val="0"/>
            <w:vAlign w:val="center"/>
          </w:tcPr>
          <w:p>
            <w:pPr>
              <w:spacing w:line="240" w:lineRule="auto"/>
              <w:jc w:val="center"/>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450</w:t>
            </w:r>
          </w:p>
        </w:tc>
        <w:tc>
          <w:tcPr>
            <w:tcW w:w="1033" w:type="pct"/>
            <w:noWrap w:val="0"/>
            <w:vAlign w:val="center"/>
          </w:tcPr>
          <w:p>
            <w:pPr>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101车间（丁类）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4" w:type="pct"/>
            <w:noWrap w:val="0"/>
            <w:vAlign w:val="center"/>
          </w:tcPr>
          <w:p>
            <w:pPr>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南面</w:t>
            </w:r>
          </w:p>
        </w:tc>
        <w:tc>
          <w:tcPr>
            <w:tcW w:w="1358" w:type="pct"/>
            <w:noWrap w:val="0"/>
            <w:vAlign w:val="center"/>
          </w:tcPr>
          <w:p>
            <w:pPr>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洲里夏家民房（约400人）</w:t>
            </w:r>
          </w:p>
        </w:tc>
        <w:tc>
          <w:tcPr>
            <w:tcW w:w="1071" w:type="pct"/>
            <w:noWrap w:val="0"/>
            <w:vAlign w:val="center"/>
          </w:tcPr>
          <w:p>
            <w:pPr>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280</w:t>
            </w:r>
          </w:p>
        </w:tc>
        <w:tc>
          <w:tcPr>
            <w:tcW w:w="1041" w:type="pct"/>
            <w:noWrap w:val="0"/>
            <w:vAlign w:val="center"/>
          </w:tcPr>
          <w:p>
            <w:pPr>
              <w:spacing w:line="240" w:lineRule="auto"/>
              <w:jc w:val="center"/>
              <w:rPr>
                <w:rFonts w:hint="default" w:ascii="Times New Roman" w:hAnsi="Times New Roman" w:eastAsia="宋体" w:cs="Times New Roman"/>
                <w:bCs/>
                <w:kern w:val="0"/>
                <w:sz w:val="21"/>
                <w:szCs w:val="21"/>
                <w:lang w:val="en-US" w:eastAsia="zh-CN"/>
              </w:rPr>
            </w:pPr>
            <w:r>
              <w:rPr>
                <w:rFonts w:hint="default" w:ascii="Times New Roman" w:hAnsi="Times New Roman" w:cs="Times New Roman"/>
                <w:bCs/>
                <w:kern w:val="0"/>
                <w:sz w:val="21"/>
                <w:szCs w:val="21"/>
                <w:lang w:val="en-US" w:eastAsia="zh-CN"/>
              </w:rPr>
              <w:t>330</w:t>
            </w:r>
          </w:p>
        </w:tc>
        <w:tc>
          <w:tcPr>
            <w:tcW w:w="1033" w:type="pct"/>
            <w:noWrap w:val="0"/>
            <w:vAlign w:val="center"/>
          </w:tcPr>
          <w:p>
            <w:pPr>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101车间（丁类）</w:t>
            </w:r>
          </w:p>
        </w:tc>
      </w:tr>
    </w:tbl>
    <w:p>
      <w:pPr>
        <w:ind w:firstLine="560" w:firstLineChars="200"/>
        <w:rPr>
          <w:rFonts w:hint="default" w:ascii="Times New Roman" w:hAnsi="Times New Roman" w:cs="Times New Roman"/>
        </w:rPr>
      </w:pPr>
      <w:r>
        <w:rPr>
          <w:rFonts w:hint="default" w:ascii="Times New Roman" w:hAnsi="Times New Roman" w:cs="Times New Roman"/>
        </w:rPr>
        <w:t>2）项目周边企业装置分布情况</w:t>
      </w:r>
    </w:p>
    <w:p>
      <w:pPr>
        <w:ind w:firstLine="560" w:firstLineChars="200"/>
        <w:rPr>
          <w:rFonts w:hint="default" w:ascii="Times New Roman" w:hAnsi="Times New Roman" w:cs="Times New Roman"/>
        </w:rPr>
      </w:pPr>
      <w:r>
        <w:rPr>
          <w:rFonts w:hint="default" w:ascii="Times New Roman" w:hAnsi="Times New Roman" w:cs="Times New Roman"/>
        </w:rPr>
        <w:t>依据现场踏勘情况和该公司提供资料，该</w:t>
      </w:r>
      <w:r>
        <w:rPr>
          <w:rFonts w:hint="default" w:ascii="Times New Roman" w:hAnsi="Times New Roman" w:cs="Times New Roman"/>
          <w:lang w:eastAsia="zh-CN"/>
        </w:rPr>
        <w:t>企业</w:t>
      </w:r>
      <w:r>
        <w:rPr>
          <w:rFonts w:hint="default" w:ascii="Times New Roman" w:hAnsi="Times New Roman" w:cs="Times New Roman"/>
        </w:rPr>
        <w:t>位于上饶市广丰区洋口镇青桥寒婆岭，</w:t>
      </w:r>
      <w:r>
        <w:rPr>
          <w:rFonts w:hint="default" w:ascii="Times New Roman" w:hAnsi="Times New Roman" w:cs="Times New Roman"/>
          <w:lang w:eastAsia="zh-CN"/>
        </w:rPr>
        <w:t>厂区围墙</w:t>
      </w:r>
      <w:r>
        <w:rPr>
          <w:rFonts w:hint="default" w:ascii="Times New Roman" w:hAnsi="Times New Roman" w:cs="Times New Roman"/>
        </w:rPr>
        <w:t>东侧</w:t>
      </w:r>
      <w:r>
        <w:rPr>
          <w:rFonts w:hint="default" w:ascii="Times New Roman" w:hAnsi="Times New Roman" w:cs="Times New Roman"/>
          <w:lang w:eastAsia="zh-CN"/>
        </w:rPr>
        <w:t>隔空地</w:t>
      </w:r>
      <w:r>
        <w:rPr>
          <w:rFonts w:hint="default" w:ascii="Times New Roman" w:hAnsi="Times New Roman" w:cs="Times New Roman"/>
          <w:lang w:val="en-US" w:eastAsia="zh-CN"/>
        </w:rPr>
        <w:t>为</w:t>
      </w:r>
      <w:r>
        <w:rPr>
          <w:rFonts w:hint="default" w:ascii="Times New Roman" w:hAnsi="Times New Roman" w:cs="Times New Roman"/>
        </w:rPr>
        <w:t>上饶京新药业有限公司；北侧为</w:t>
      </w:r>
      <w:r>
        <w:rPr>
          <w:rFonts w:hint="eastAsia" w:cs="Times New Roman"/>
          <w:lang w:eastAsia="zh-CN"/>
        </w:rPr>
        <w:t>在建的上饶市高新区标准化厂房</w:t>
      </w:r>
      <w:r>
        <w:rPr>
          <w:rFonts w:hint="default" w:ascii="Times New Roman" w:hAnsi="Times New Roman" w:cs="Times New Roman"/>
          <w:lang w:eastAsia="zh-CN"/>
        </w:rPr>
        <w:t>和</w:t>
      </w:r>
      <w:r>
        <w:rPr>
          <w:rFonts w:hint="default" w:ascii="Times New Roman" w:hAnsi="Times New Roman" w:cs="Times New Roman"/>
        </w:rPr>
        <w:t>上饶市芦林纸业有限公司。</w:t>
      </w:r>
    </w:p>
    <w:p>
      <w:pPr>
        <w:ind w:firstLine="560" w:firstLineChars="200"/>
        <w:jc w:val="center"/>
        <w:rPr>
          <w:rFonts w:hint="default" w:ascii="Times New Roman" w:hAnsi="Times New Roman" w:cs="Times New Roman"/>
        </w:rPr>
      </w:pPr>
      <w:r>
        <w:rPr>
          <w:rFonts w:hint="default" w:ascii="Times New Roman" w:hAnsi="Times New Roman" w:cs="Times New Roman"/>
        </w:rPr>
        <w:t>表2.2-4该</w:t>
      </w:r>
      <w:r>
        <w:rPr>
          <w:rFonts w:hint="eastAsia" w:cs="Times New Roman"/>
          <w:lang w:val="en-US" w:eastAsia="zh-CN"/>
        </w:rPr>
        <w:t>企业</w:t>
      </w:r>
      <w:r>
        <w:rPr>
          <w:rFonts w:hint="default" w:ascii="Times New Roman" w:hAnsi="Times New Roman" w:cs="Times New Roman"/>
        </w:rPr>
        <w:t>周边企业分布表</w:t>
      </w:r>
    </w:p>
    <w:tbl>
      <w:tblPr>
        <w:tblStyle w:val="25"/>
        <w:tblW w:w="492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827"/>
        <w:gridCol w:w="805"/>
        <w:gridCol w:w="1459"/>
        <w:gridCol w:w="1574"/>
        <w:gridCol w:w="1761"/>
        <w:gridCol w:w="73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543"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周边企业</w:t>
            </w:r>
          </w:p>
        </w:tc>
        <w:tc>
          <w:tcPr>
            <w:tcW w:w="439"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方位</w:t>
            </w:r>
          </w:p>
        </w:tc>
        <w:tc>
          <w:tcPr>
            <w:tcW w:w="796"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厂址距离（m）</w:t>
            </w:r>
          </w:p>
        </w:tc>
        <w:tc>
          <w:tcPr>
            <w:tcW w:w="859"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eastAsia" w:cs="Times New Roman"/>
                <w:sz w:val="21"/>
                <w:szCs w:val="21"/>
                <w:lang w:val="en-US" w:eastAsia="zh-CN"/>
              </w:rPr>
              <w:t>装置</w:t>
            </w:r>
            <w:r>
              <w:rPr>
                <w:rFonts w:hint="default" w:ascii="Times New Roman" w:hAnsi="Times New Roman" w:cs="Times New Roman"/>
                <w:sz w:val="21"/>
                <w:szCs w:val="21"/>
              </w:rPr>
              <w:t>间距（m）</w:t>
            </w:r>
          </w:p>
        </w:tc>
        <w:tc>
          <w:tcPr>
            <w:tcW w:w="961"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最近建构筑物</w:t>
            </w:r>
          </w:p>
        </w:tc>
        <w:tc>
          <w:tcPr>
            <w:tcW w:w="399"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5" w:hRule="atLeast"/>
          <w:jc w:val="center"/>
        </w:trPr>
        <w:tc>
          <w:tcPr>
            <w:tcW w:w="1543"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上饶市芦林纸业有限公司</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kern w:val="0"/>
                <w:sz w:val="21"/>
                <w:szCs w:val="21"/>
              </w:rPr>
              <w:t>（丙类车间）</w:t>
            </w:r>
          </w:p>
        </w:tc>
        <w:tc>
          <w:tcPr>
            <w:tcW w:w="439"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kern w:val="0"/>
                <w:sz w:val="21"/>
                <w:szCs w:val="21"/>
              </w:rPr>
              <w:t>北</w:t>
            </w:r>
          </w:p>
        </w:tc>
        <w:tc>
          <w:tcPr>
            <w:tcW w:w="796"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189</w:t>
            </w:r>
          </w:p>
        </w:tc>
        <w:tc>
          <w:tcPr>
            <w:tcW w:w="859" w:type="pct"/>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289</w:t>
            </w:r>
          </w:p>
        </w:tc>
        <w:tc>
          <w:tcPr>
            <w:tcW w:w="961"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101车间（丁类）</w:t>
            </w:r>
          </w:p>
        </w:tc>
        <w:tc>
          <w:tcPr>
            <w:tcW w:w="399" w:type="pct"/>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5" w:hRule="atLeast"/>
          <w:jc w:val="center"/>
        </w:trPr>
        <w:tc>
          <w:tcPr>
            <w:tcW w:w="1543" w:type="pct"/>
            <w:vAlign w:val="center"/>
          </w:tcPr>
          <w:p>
            <w:pPr>
              <w:spacing w:line="240" w:lineRule="auto"/>
              <w:jc w:val="center"/>
              <w:rPr>
                <w:rFonts w:hint="default" w:ascii="Times New Roman" w:hAnsi="Times New Roman" w:eastAsia="宋体" w:cs="Times New Roman"/>
                <w:kern w:val="0"/>
                <w:sz w:val="21"/>
                <w:szCs w:val="21"/>
                <w:lang w:eastAsia="zh-CN"/>
              </w:rPr>
            </w:pPr>
            <w:r>
              <w:rPr>
                <w:rFonts w:hint="eastAsia" w:cs="Times New Roman"/>
                <w:kern w:val="0"/>
                <w:sz w:val="21"/>
                <w:szCs w:val="21"/>
                <w:lang w:eastAsia="zh-CN"/>
              </w:rPr>
              <w:t>在建的上饶市高新区标准化厂房</w:t>
            </w:r>
          </w:p>
        </w:tc>
        <w:tc>
          <w:tcPr>
            <w:tcW w:w="439" w:type="pct"/>
            <w:vAlign w:val="center"/>
          </w:tcPr>
          <w:p>
            <w:pPr>
              <w:spacing w:line="240" w:lineRule="auto"/>
              <w:jc w:val="center"/>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lang w:eastAsia="zh-CN"/>
              </w:rPr>
              <w:t>北</w:t>
            </w:r>
          </w:p>
        </w:tc>
        <w:tc>
          <w:tcPr>
            <w:tcW w:w="796" w:type="pct"/>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150</w:t>
            </w:r>
          </w:p>
        </w:tc>
        <w:tc>
          <w:tcPr>
            <w:tcW w:w="859" w:type="pct"/>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250</w:t>
            </w:r>
          </w:p>
        </w:tc>
        <w:tc>
          <w:tcPr>
            <w:tcW w:w="961"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101车间（丁类）</w:t>
            </w:r>
          </w:p>
        </w:tc>
        <w:tc>
          <w:tcPr>
            <w:tcW w:w="399" w:type="pct"/>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1543" w:type="pct"/>
            <w:tcBorders>
              <w:bottom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上饶京新药业有限公司</w:t>
            </w:r>
          </w:p>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r>
              <w:rPr>
                <w:rFonts w:hint="eastAsia" w:cs="Times New Roman"/>
                <w:kern w:val="0"/>
                <w:sz w:val="21"/>
                <w:szCs w:val="21"/>
                <w:lang w:val="en-US" w:eastAsia="zh-CN"/>
              </w:rPr>
              <w:t>甲</w:t>
            </w:r>
            <w:r>
              <w:rPr>
                <w:rFonts w:hint="default" w:ascii="Times New Roman" w:hAnsi="Times New Roman" w:cs="Times New Roman"/>
                <w:kern w:val="0"/>
                <w:sz w:val="21"/>
                <w:szCs w:val="21"/>
              </w:rPr>
              <w:t>类车间）</w:t>
            </w:r>
          </w:p>
        </w:tc>
        <w:tc>
          <w:tcPr>
            <w:tcW w:w="439" w:type="pct"/>
            <w:tcBorders>
              <w:bottom w:val="single" w:color="auto" w:sz="4" w:space="0"/>
            </w:tcBorders>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东</w:t>
            </w:r>
          </w:p>
        </w:tc>
        <w:tc>
          <w:tcPr>
            <w:tcW w:w="796" w:type="pct"/>
            <w:tcBorders>
              <w:bottom w:val="single" w:color="auto" w:sz="4" w:space="0"/>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190</w:t>
            </w:r>
          </w:p>
        </w:tc>
        <w:tc>
          <w:tcPr>
            <w:tcW w:w="859" w:type="pct"/>
            <w:tcBorders>
              <w:bottom w:val="single" w:color="auto" w:sz="4" w:space="0"/>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260</w:t>
            </w:r>
          </w:p>
        </w:tc>
        <w:tc>
          <w:tcPr>
            <w:tcW w:w="961" w:type="pct"/>
            <w:tcBorders>
              <w:bottom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101车间（丁类）</w:t>
            </w:r>
          </w:p>
        </w:tc>
        <w:tc>
          <w:tcPr>
            <w:tcW w:w="399" w:type="pct"/>
            <w:tcBorders>
              <w:bottom w:val="single" w:color="auto" w:sz="4" w:space="0"/>
            </w:tcBorders>
            <w:vAlign w:val="center"/>
          </w:tcPr>
          <w:p>
            <w:pPr>
              <w:spacing w:line="240" w:lineRule="auto"/>
              <w:jc w:val="center"/>
              <w:rPr>
                <w:rFonts w:hint="default" w:ascii="Times New Roman" w:hAnsi="Times New Roman" w:cs="Times New Roman"/>
                <w:sz w:val="21"/>
                <w:szCs w:val="21"/>
              </w:rPr>
            </w:pPr>
          </w:p>
        </w:tc>
      </w:tr>
    </w:tbl>
    <w:p>
      <w:pPr>
        <w:ind w:firstLine="560" w:firstLineChars="200"/>
        <w:rPr>
          <w:rFonts w:hint="default" w:ascii="Times New Roman" w:hAnsi="Times New Roman" w:cs="Times New Roman"/>
        </w:rPr>
      </w:pPr>
      <w:r>
        <w:rPr>
          <w:rFonts w:hint="default" w:ascii="Times New Roman" w:hAnsi="Times New Roman" w:cs="Times New Roman"/>
        </w:rPr>
        <w:t>3）项目周边交通、河流等其他分布情况</w:t>
      </w:r>
    </w:p>
    <w:p>
      <w:pPr>
        <w:ind w:firstLine="560" w:firstLineChars="200"/>
        <w:rPr>
          <w:rFonts w:hint="default" w:ascii="Times New Roman" w:hAnsi="Times New Roman" w:cs="Times New Roman"/>
        </w:rPr>
      </w:pPr>
      <w:r>
        <w:rPr>
          <w:rFonts w:hint="default" w:ascii="Times New Roman" w:hAnsi="Times New Roman" w:cs="Times New Roman"/>
        </w:rPr>
        <w:t>依据现场踏勘情况和该公司提供资料，上饶市广氟医药化工有限公司北侧</w:t>
      </w:r>
      <w:r>
        <w:rPr>
          <w:rFonts w:hint="default" w:ascii="Times New Roman" w:hAnsi="Times New Roman" w:cs="Times New Roman"/>
          <w:lang w:eastAsia="zh-CN"/>
        </w:rPr>
        <w:t>距</w:t>
      </w:r>
      <w:r>
        <w:rPr>
          <w:rFonts w:hint="default" w:ascii="Times New Roman" w:hAnsi="Times New Roman" w:cs="Times New Roman"/>
        </w:rPr>
        <w:t>S320省道距离为280m；南侧为丰溪河（不属于五河一江一湖）距离20m。</w:t>
      </w:r>
    </w:p>
    <w:p>
      <w:pPr>
        <w:ind w:firstLine="560" w:firstLineChars="200"/>
        <w:rPr>
          <w:rFonts w:hint="default" w:ascii="Times New Roman" w:hAnsi="Times New Roman" w:cs="Times New Roman"/>
        </w:rPr>
      </w:pPr>
      <w:r>
        <w:rPr>
          <w:rFonts w:hint="default" w:ascii="Times New Roman" w:hAnsi="Times New Roman" w:cs="Times New Roman"/>
        </w:rPr>
        <w:t>厂址周边1000m范围内无商业中心、公园等人员密集场所及重要公共设施。项目周边</w:t>
      </w:r>
      <w:r>
        <w:rPr>
          <w:rFonts w:hint="eastAsia" w:cs="Times New Roman"/>
          <w:lang w:val="en-US" w:eastAsia="zh-CN"/>
        </w:rPr>
        <w:t>5</w:t>
      </w:r>
      <w:r>
        <w:rPr>
          <w:rFonts w:hint="default" w:ascii="Times New Roman" w:hAnsi="Times New Roman" w:cs="Times New Roman"/>
        </w:rPr>
        <w:t>00m范围内无基本农田保护区、基本草原、畜禽遗传资源保护区、畜禽规模化养殖场（养殖小区）、渔业水域以及种子、种畜禽、水产苗种生产基地；项目周边</w:t>
      </w:r>
      <w:r>
        <w:rPr>
          <w:rFonts w:hint="eastAsia" w:cs="Times New Roman"/>
          <w:lang w:val="en-US" w:eastAsia="zh-CN"/>
        </w:rPr>
        <w:t>5</w:t>
      </w:r>
      <w:r>
        <w:rPr>
          <w:rFonts w:hint="default" w:ascii="Times New Roman" w:hAnsi="Times New Roman" w:cs="Times New Roman"/>
        </w:rPr>
        <w:t>00m范围内无湖泊、风景名胜区和自然保护区。项目周边无军事禁区、军事管理区；项目周边无法律、行政法规规定予以保护的其他区域。</w:t>
      </w:r>
    </w:p>
    <w:p>
      <w:pPr>
        <w:spacing w:line="240" w:lineRule="auto"/>
        <w:rPr>
          <w:rFonts w:hint="default" w:ascii="Times New Roman" w:hAnsi="Times New Roman" w:cs="Times New Roman"/>
        </w:rPr>
      </w:pPr>
      <w:r>
        <w:rPr>
          <w:rFonts w:hint="default" w:ascii="Times New Roman" w:hAnsi="Times New Roman" w:cs="Times New Roman"/>
        </w:rPr>
        <w:drawing>
          <wp:inline distT="0" distB="0" distL="114300" distR="114300">
            <wp:extent cx="5755640" cy="4063365"/>
            <wp:effectExtent l="0" t="0" r="16510" b="1333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4"/>
                    <a:stretch>
                      <a:fillRect/>
                    </a:stretch>
                  </pic:blipFill>
                  <pic:spPr>
                    <a:xfrm>
                      <a:off x="0" y="0"/>
                      <a:ext cx="5755640" cy="4063365"/>
                    </a:xfrm>
                    <a:prstGeom prst="rect">
                      <a:avLst/>
                    </a:prstGeom>
                    <a:noFill/>
                    <a:ln>
                      <a:noFill/>
                    </a:ln>
                  </pic:spPr>
                </pic:pic>
              </a:graphicData>
            </a:graphic>
          </wp:inline>
        </w:drawing>
      </w:r>
    </w:p>
    <w:p>
      <w:pPr>
        <w:spacing w:line="240" w:lineRule="auto"/>
        <w:jc w:val="center"/>
        <w:rPr>
          <w:rFonts w:hint="default" w:ascii="Times New Roman" w:hAnsi="Times New Roman" w:cs="Times New Roman"/>
        </w:rPr>
      </w:pPr>
      <w:r>
        <w:rPr>
          <w:rFonts w:hint="default" w:ascii="Times New Roman" w:hAnsi="Times New Roman" w:cs="Times New Roman"/>
        </w:rPr>
        <w:t xml:space="preserve">图2.2-1 </w:t>
      </w:r>
      <w:r>
        <w:rPr>
          <w:rFonts w:hint="default" w:ascii="Times New Roman" w:hAnsi="Times New Roman" w:cs="Times New Roman"/>
          <w:lang w:eastAsia="zh-CN"/>
        </w:rPr>
        <w:t>上饶市广氟医药化工有限公司</w:t>
      </w:r>
      <w:r>
        <w:rPr>
          <w:rFonts w:hint="default" w:ascii="Times New Roman" w:hAnsi="Times New Roman" w:cs="Times New Roman"/>
        </w:rPr>
        <w:t>厂址地理位置图</w:t>
      </w:r>
    </w:p>
    <w:p>
      <w:pPr>
        <w:pStyle w:val="5"/>
        <w:ind w:left="560"/>
        <w:rPr>
          <w:rFonts w:hint="default" w:ascii="Times New Roman" w:hAnsi="Times New Roman" w:cs="Times New Roman"/>
        </w:rPr>
      </w:pPr>
      <w:r>
        <w:rPr>
          <w:rFonts w:hint="default" w:ascii="Times New Roman" w:hAnsi="Times New Roman" w:cs="Times New Roman"/>
        </w:rPr>
        <w:t>2.2.2厂址概况</w:t>
      </w:r>
    </w:p>
    <w:p>
      <w:pPr>
        <w:ind w:firstLine="560" w:firstLineChars="200"/>
        <w:rPr>
          <w:rFonts w:hint="default" w:ascii="Times New Roman" w:hAnsi="Times New Roman" w:cs="Times New Roman"/>
        </w:rPr>
      </w:pPr>
      <w:r>
        <w:rPr>
          <w:rFonts w:hint="default" w:ascii="Times New Roman" w:hAnsi="Times New Roman" w:cs="Times New Roman"/>
        </w:rPr>
        <w:t>1、地形及地质</w:t>
      </w:r>
    </w:p>
    <w:p>
      <w:pPr>
        <w:ind w:firstLine="560" w:firstLineChars="200"/>
        <w:rPr>
          <w:rFonts w:hint="default" w:ascii="Times New Roman" w:hAnsi="Times New Roman" w:cs="Times New Roman"/>
        </w:rPr>
      </w:pPr>
      <w:r>
        <w:rPr>
          <w:rFonts w:hint="default" w:ascii="Times New Roman" w:hAnsi="Times New Roman" w:cs="Times New Roman"/>
        </w:rPr>
        <w:t>上饶市广丰区地处江西省东北部，属信江东西向凹陷带的东部。东西向构造、华夏系（式）构造、新华夏式构造均有发育。</w:t>
      </w:r>
    </w:p>
    <w:p>
      <w:pPr>
        <w:ind w:firstLine="560" w:firstLineChars="200"/>
        <w:rPr>
          <w:rFonts w:hint="default" w:ascii="Times New Roman" w:hAnsi="Times New Roman" w:cs="Times New Roman"/>
        </w:rPr>
      </w:pPr>
      <w:r>
        <w:rPr>
          <w:rFonts w:hint="default" w:ascii="Times New Roman" w:hAnsi="Times New Roman" w:cs="Times New Roman"/>
        </w:rPr>
        <w:t>境内地貌，因受地质构造运动的影响，并在武夷山脉和仙霞岭的支配下，呈现南峻西缓，东高北低。境内海拔最高点铜钹山尖15346米，县城95米，最低处有洋口镇的谢家洲、壶峤镇的渡船头村约72米。境内整个地势从东南向西北渐次倾斜，形成半山区半丘陵的地貌特征。</w:t>
      </w:r>
    </w:p>
    <w:p>
      <w:pPr>
        <w:ind w:firstLine="560" w:firstLineChars="200"/>
        <w:rPr>
          <w:rFonts w:hint="default" w:ascii="Times New Roman" w:hAnsi="Times New Roman" w:cs="Times New Roman"/>
        </w:rPr>
      </w:pPr>
      <w:r>
        <w:rPr>
          <w:rFonts w:hint="default" w:ascii="Times New Roman" w:hAnsi="Times New Roman" w:cs="Times New Roman"/>
        </w:rPr>
        <w:t>2、地震</w:t>
      </w:r>
    </w:p>
    <w:p>
      <w:pPr>
        <w:ind w:firstLine="560" w:firstLineChars="200"/>
        <w:rPr>
          <w:rFonts w:hint="default" w:ascii="Times New Roman" w:hAnsi="Times New Roman" w:cs="Times New Roman"/>
        </w:rPr>
      </w:pPr>
      <w:r>
        <w:rPr>
          <w:rFonts w:hint="default" w:ascii="Times New Roman" w:hAnsi="Times New Roman" w:cs="Times New Roman"/>
        </w:rPr>
        <w:t>根据《建筑抗震设计规范》GB50011-2010（2016年版）附录A，</w:t>
      </w:r>
      <w:r>
        <w:rPr>
          <w:rFonts w:hint="default" w:ascii="Times New Roman" w:hAnsi="Times New Roman" w:cs="Times New Roman"/>
          <w:lang w:eastAsia="zh-CN"/>
        </w:rPr>
        <w:t>上饶市广丰区</w:t>
      </w:r>
      <w:r>
        <w:rPr>
          <w:rFonts w:hint="default" w:ascii="Times New Roman" w:hAnsi="Times New Roman" w:cs="Times New Roman"/>
        </w:rPr>
        <w:t>的地震烈度为6度，基本地震加速度0.05g，地震分组为第一组。</w:t>
      </w:r>
    </w:p>
    <w:p>
      <w:pPr>
        <w:ind w:firstLine="560" w:firstLineChars="200"/>
        <w:rPr>
          <w:rFonts w:hint="default" w:ascii="Times New Roman" w:hAnsi="Times New Roman" w:cs="Times New Roman"/>
        </w:rPr>
      </w:pPr>
      <w:r>
        <w:rPr>
          <w:rFonts w:hint="default" w:ascii="Times New Roman" w:hAnsi="Times New Roman" w:cs="Times New Roman"/>
        </w:rPr>
        <w:t>3、水文</w:t>
      </w:r>
    </w:p>
    <w:p>
      <w:pPr>
        <w:ind w:firstLine="560" w:firstLineChars="200"/>
        <w:rPr>
          <w:rFonts w:hint="default" w:ascii="Times New Roman" w:hAnsi="Times New Roman" w:cs="Times New Roman"/>
        </w:rPr>
      </w:pPr>
      <w:r>
        <w:rPr>
          <w:rFonts w:hint="default" w:ascii="Times New Roman" w:hAnsi="Times New Roman" w:cs="Times New Roman"/>
        </w:rPr>
        <w:t>广丰区内主要河流为丰溪河，是信江上游南岸的主要支流，发源于福建省浦城县仙霞岭，从县境东部流向西北，在五都折向西流，至洋口镇清湖出境，在信州区郊汇入信江，全长117公里，其中县境长87公里，流域面积2143平方公里。丰溪河在沙田镇溪东分为两源：一是棠岭港，二是十五都港。两港的特点是：河床纵坡陡，水资源丰富，水能蕴藏量大。丰溪河走向由东南向西北，据丰溪河规划实测资料，按河床坡降分别为上游段53％，中游段为36％，下游段为19％。河道弯曲，弯曲系数1.37，五都至永丰几乎成“s”形，分叉程度不严重。河流段最大宽50米，最小10米，一般水面30米左右。上游段一般40米左右，中游段一般60米，下游段68米左右。水深除浅滩、深潭外，一般枯水深0.35米左右，最深为2米，最浅只有0.2米左右。</w:t>
      </w:r>
    </w:p>
    <w:p>
      <w:pPr>
        <w:ind w:firstLine="560" w:firstLineChars="200"/>
        <w:rPr>
          <w:rFonts w:hint="default" w:ascii="Times New Roman" w:hAnsi="Times New Roman" w:cs="Times New Roman"/>
        </w:rPr>
      </w:pPr>
      <w:r>
        <w:rPr>
          <w:rFonts w:hint="default" w:ascii="Times New Roman" w:hAnsi="Times New Roman" w:cs="Times New Roman"/>
        </w:rPr>
        <w:t>丰溪河流域径流主要由降雨形成，春夏两季雨水多，径流大。雨季过后进入枯水期，一般出现在12月前后。</w:t>
      </w:r>
    </w:p>
    <w:p>
      <w:pPr>
        <w:ind w:firstLine="560" w:firstLineChars="200"/>
        <w:rPr>
          <w:rFonts w:hint="default" w:ascii="Times New Roman" w:hAnsi="Times New Roman" w:cs="Times New Roman"/>
        </w:rPr>
      </w:pPr>
      <w:r>
        <w:rPr>
          <w:rFonts w:hint="default" w:ascii="Times New Roman" w:hAnsi="Times New Roman" w:cs="Times New Roman"/>
        </w:rPr>
        <w:t>丰溪河水位：据1977至2002年26年资料统计，年平均水位89.42米（水位高程属吴淞基面），最高水位1993年为93.83米，其次是1992年为93.31米；最低水位1995年为88.68米，其次是1997年为88.71米。</w:t>
      </w:r>
    </w:p>
    <w:p>
      <w:pPr>
        <w:ind w:firstLine="560" w:firstLineChars="200"/>
        <w:rPr>
          <w:rFonts w:hint="default" w:ascii="Times New Roman" w:hAnsi="Times New Roman" w:cs="Times New Roman"/>
        </w:rPr>
      </w:pPr>
      <w:r>
        <w:rPr>
          <w:rFonts w:hint="default" w:ascii="Times New Roman" w:hAnsi="Times New Roman" w:cs="Times New Roman"/>
        </w:rPr>
        <w:t>4、气象条件</w:t>
      </w:r>
    </w:p>
    <w:p>
      <w:pPr>
        <w:ind w:firstLine="560" w:firstLineChars="200"/>
        <w:rPr>
          <w:rFonts w:hint="default" w:ascii="Times New Roman" w:hAnsi="Times New Roman" w:cs="Times New Roman"/>
        </w:rPr>
      </w:pPr>
      <w:r>
        <w:rPr>
          <w:rFonts w:hint="default" w:ascii="Times New Roman" w:hAnsi="Times New Roman" w:cs="Times New Roman"/>
        </w:rPr>
        <w:t>广丰区属中亚热带季风湿润气候带。气候温和，雨量充沛，光照充足，四季分明，无霜期长。</w:t>
      </w:r>
    </w:p>
    <w:p>
      <w:pPr>
        <w:ind w:firstLine="560" w:firstLineChars="200"/>
        <w:rPr>
          <w:rFonts w:hint="default" w:ascii="Times New Roman" w:hAnsi="Times New Roman" w:cs="Times New Roman"/>
        </w:rPr>
      </w:pPr>
      <w:r>
        <w:rPr>
          <w:rFonts w:hint="default" w:ascii="Times New Roman" w:hAnsi="Times New Roman" w:cs="Times New Roman"/>
        </w:rPr>
        <w:t>（1）气温</w:t>
      </w:r>
    </w:p>
    <w:p>
      <w:pPr>
        <w:ind w:firstLine="560" w:firstLineChars="200"/>
        <w:rPr>
          <w:rFonts w:hint="default" w:ascii="Times New Roman" w:hAnsi="Times New Roman" w:cs="Times New Roman"/>
        </w:rPr>
      </w:pPr>
      <w:r>
        <w:rPr>
          <w:rFonts w:hint="default" w:ascii="Times New Roman" w:hAnsi="Times New Roman" w:cs="Times New Roman"/>
        </w:rPr>
        <w:t>年平均气温为17.9℃。历年极端最高气温为40.5℃（1971年7月31日）。极端最低气温-9.1℃（1977年2月4日）。其中最热月为7月，平均气温29.4℃；最冷月为1月，平均气温5.6℃。由于县内地形复杂，山区、丘陵、河谷地区的气温各有差异，形成小地形温度。在海拔400米以上地区，一般每升高100米，温度下降0.5℃左右，地处山区的桐畈、岭底、管村和嵩峰部分地区，年平均气温要比全县其他地区低1℃～3℃。</w:t>
      </w:r>
    </w:p>
    <w:p>
      <w:pPr>
        <w:ind w:firstLine="560" w:firstLineChars="200"/>
        <w:rPr>
          <w:rFonts w:hint="default" w:ascii="Times New Roman" w:hAnsi="Times New Roman" w:cs="Times New Roman"/>
        </w:rPr>
      </w:pPr>
      <w:r>
        <w:rPr>
          <w:rFonts w:hint="default" w:ascii="Times New Roman" w:hAnsi="Times New Roman" w:cs="Times New Roman"/>
        </w:rPr>
        <w:t>（2）霜期</w:t>
      </w:r>
    </w:p>
    <w:p>
      <w:pPr>
        <w:ind w:firstLine="560" w:firstLineChars="200"/>
        <w:rPr>
          <w:rFonts w:hint="default" w:ascii="Times New Roman" w:hAnsi="Times New Roman" w:cs="Times New Roman"/>
        </w:rPr>
      </w:pPr>
      <w:r>
        <w:rPr>
          <w:rFonts w:hint="default" w:ascii="Times New Roman" w:hAnsi="Times New Roman" w:cs="Times New Roman"/>
        </w:rPr>
        <w:t>历年平均无霜期为266天。初霜期为11月25日，最早为1978年10月30日；最迟为1970年12月16日。终霜期为3月2日，最早为1973年1月30日；最迟为1974年3月28日。年平均有霜日18.9天。</w:t>
      </w:r>
    </w:p>
    <w:p>
      <w:pPr>
        <w:ind w:firstLine="560" w:firstLineChars="200"/>
        <w:rPr>
          <w:rFonts w:hint="default" w:ascii="Times New Roman" w:hAnsi="Times New Roman" w:cs="Times New Roman"/>
        </w:rPr>
      </w:pPr>
      <w:r>
        <w:rPr>
          <w:rFonts w:hint="default" w:ascii="Times New Roman" w:hAnsi="Times New Roman" w:cs="Times New Roman"/>
        </w:rPr>
        <w:t>（3）降水</w:t>
      </w:r>
    </w:p>
    <w:p>
      <w:pPr>
        <w:ind w:firstLine="560" w:firstLineChars="200"/>
        <w:rPr>
          <w:rFonts w:hint="default" w:ascii="Times New Roman" w:hAnsi="Times New Roman" w:cs="Times New Roman"/>
        </w:rPr>
      </w:pPr>
      <w:r>
        <w:rPr>
          <w:rFonts w:hint="default" w:ascii="Times New Roman" w:hAnsi="Times New Roman" w:cs="Times New Roman"/>
        </w:rPr>
        <w:t>年平均降雨量为1626.9毫米，多雨年达2446.9毫米（1975少雨年为1971年仅923.7毫米。相对变率为17％。雨量四季分布不均，春季为344.7毫米，占全年降雨量21.4％；夏季795毫米，占全年降雨量48.9％。</w:t>
      </w:r>
    </w:p>
    <w:p>
      <w:pPr>
        <w:ind w:firstLine="560" w:firstLineChars="200"/>
        <w:rPr>
          <w:rFonts w:hint="default" w:ascii="Times New Roman" w:hAnsi="Times New Roman" w:cs="Times New Roman"/>
        </w:rPr>
      </w:pPr>
      <w:r>
        <w:rPr>
          <w:rFonts w:hint="default" w:ascii="Times New Roman" w:hAnsi="Times New Roman" w:cs="Times New Roman"/>
        </w:rPr>
        <w:t>（4）雪期</w:t>
      </w:r>
    </w:p>
    <w:p>
      <w:pPr>
        <w:ind w:firstLine="560" w:firstLineChars="200"/>
        <w:rPr>
          <w:rFonts w:hint="default" w:ascii="Times New Roman" w:hAnsi="Times New Roman" w:cs="Times New Roman"/>
        </w:rPr>
      </w:pPr>
      <w:r>
        <w:rPr>
          <w:rFonts w:hint="default" w:ascii="Times New Roman" w:hAnsi="Times New Roman" w:cs="Times New Roman"/>
        </w:rPr>
        <w:t>年平均为59天，初雪日12月28日，最早为11月15日（1970年），最迟为2月5日（1964年）；平均终雪日2月24日，最早为1月29日（1970年），最迟为3月22日（1961年）。</w:t>
      </w:r>
    </w:p>
    <w:p>
      <w:pPr>
        <w:ind w:firstLine="560" w:firstLineChars="200"/>
        <w:rPr>
          <w:rFonts w:hint="default" w:ascii="Times New Roman" w:hAnsi="Times New Roman" w:cs="Times New Roman"/>
        </w:rPr>
      </w:pPr>
      <w:r>
        <w:rPr>
          <w:rFonts w:hint="default" w:ascii="Times New Roman" w:hAnsi="Times New Roman" w:cs="Times New Roman"/>
        </w:rPr>
        <w:t>（5）日照</w:t>
      </w:r>
    </w:p>
    <w:p>
      <w:pPr>
        <w:ind w:firstLine="560" w:firstLineChars="200"/>
        <w:rPr>
          <w:rFonts w:hint="default" w:ascii="Times New Roman" w:hAnsi="Times New Roman" w:cs="Times New Roman"/>
        </w:rPr>
      </w:pPr>
      <w:r>
        <w:rPr>
          <w:rFonts w:hint="default" w:ascii="Times New Roman" w:hAnsi="Times New Roman" w:cs="Times New Roman"/>
        </w:rPr>
        <w:t>年平均日照时数1881.5小时，日照百分率为42％。其中日照时数最多的8月份为259小时，日照百分率64％；日照时数最少是12月分，为94.4小时。</w:t>
      </w:r>
    </w:p>
    <w:p>
      <w:pPr>
        <w:ind w:firstLine="560" w:firstLineChars="200"/>
        <w:rPr>
          <w:rFonts w:hint="default" w:ascii="Times New Roman" w:hAnsi="Times New Roman" w:cs="Times New Roman"/>
        </w:rPr>
      </w:pPr>
      <w:r>
        <w:rPr>
          <w:rFonts w:hint="default" w:ascii="Times New Roman" w:hAnsi="Times New Roman" w:cs="Times New Roman"/>
        </w:rPr>
        <w:t>（6）湿度、蒸发量</w:t>
      </w:r>
    </w:p>
    <w:p>
      <w:pPr>
        <w:ind w:firstLine="560" w:firstLineChars="200"/>
        <w:rPr>
          <w:rFonts w:hint="default" w:ascii="Times New Roman" w:hAnsi="Times New Roman" w:cs="Times New Roman"/>
        </w:rPr>
      </w:pPr>
      <w:r>
        <w:rPr>
          <w:rFonts w:hint="default" w:ascii="Times New Roman" w:hAnsi="Times New Roman" w:cs="Times New Roman"/>
        </w:rPr>
        <w:t>历年平均相对湿度78％，其中1975年最大，达81％；1967年和1971年最小，仅74％。年平均蒸发量1516.8毫米。</w:t>
      </w:r>
    </w:p>
    <w:p>
      <w:pPr>
        <w:ind w:firstLine="560" w:firstLineChars="200"/>
        <w:rPr>
          <w:rFonts w:hint="default" w:ascii="Times New Roman" w:hAnsi="Times New Roman" w:cs="Times New Roman"/>
        </w:rPr>
      </w:pPr>
      <w:r>
        <w:rPr>
          <w:rFonts w:hint="default" w:ascii="Times New Roman" w:hAnsi="Times New Roman" w:cs="Times New Roman"/>
        </w:rPr>
        <w:t>（7）风向风速</w:t>
      </w:r>
    </w:p>
    <w:p>
      <w:pPr>
        <w:ind w:firstLine="560" w:firstLineChars="200"/>
        <w:rPr>
          <w:rFonts w:hint="default" w:ascii="Times New Roman" w:hAnsi="Times New Roman" w:cs="Times New Roman"/>
        </w:rPr>
      </w:pPr>
      <w:r>
        <w:rPr>
          <w:rFonts w:hint="default" w:ascii="Times New Roman" w:hAnsi="Times New Roman" w:cs="Times New Roman"/>
        </w:rPr>
        <w:t>冬季受西伯利亚和蒙古高压控制，盛行偏北风，夏季多为亚热带高压控制，盛行偏南风，春夏之间，南北风均有，夏秋期间偶有台风侵入和影响。年平均风力2级（风速2米／秒左右），最大风力7级（风速15米／秒左右）。</w:t>
      </w:r>
    </w:p>
    <w:p>
      <w:pPr>
        <w:ind w:firstLine="560" w:firstLineChars="200"/>
        <w:rPr>
          <w:rFonts w:hint="default" w:ascii="Times New Roman" w:hAnsi="Times New Roman" w:cs="Times New Roman"/>
        </w:rPr>
      </w:pPr>
      <w:r>
        <w:rPr>
          <w:rFonts w:hint="default" w:ascii="Times New Roman" w:hAnsi="Times New Roman" w:cs="Times New Roman"/>
        </w:rPr>
        <w:t>（8）雷暴日</w:t>
      </w:r>
    </w:p>
    <w:p>
      <w:pPr>
        <w:ind w:firstLine="560" w:firstLineChars="200"/>
        <w:rPr>
          <w:rFonts w:hint="default" w:ascii="Times New Roman" w:hAnsi="Times New Roman" w:cs="Times New Roman"/>
        </w:rPr>
      </w:pPr>
      <w:r>
        <w:rPr>
          <w:rFonts w:hint="default" w:ascii="Times New Roman" w:hAnsi="Times New Roman" w:cs="Times New Roman"/>
        </w:rPr>
        <w:t>年平均雷暴天数：65d。</w:t>
      </w:r>
    </w:p>
    <w:p>
      <w:pPr>
        <w:pStyle w:val="5"/>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2.2.3工艺装置变化情况</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1、外部环境</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该公司北侧目前有一工贸企业正在建设，与企业</w:t>
      </w:r>
      <w:r>
        <w:rPr>
          <w:rFonts w:hint="eastAsia" w:cs="Times New Roman"/>
          <w:lang w:val="en-US" w:eastAsia="zh-CN"/>
        </w:rPr>
        <w:t>围墙</w:t>
      </w:r>
      <w:r>
        <w:rPr>
          <w:rFonts w:hint="default" w:ascii="Times New Roman" w:hAnsi="Times New Roman" w:cs="Times New Roman"/>
          <w:lang w:val="en-US" w:eastAsia="zh-CN"/>
        </w:rPr>
        <w:t>间距约150m。</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2、产品、工艺、装置</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具体变更内容如下：</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①产品变更情况</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该公司</w:t>
      </w:r>
      <w:r>
        <w:rPr>
          <w:rFonts w:hint="eastAsia" w:cs="Times New Roman"/>
          <w:lang w:val="en-US" w:eastAsia="zh-CN"/>
        </w:rPr>
        <w:t>于2021年新增</w:t>
      </w:r>
      <w:r>
        <w:rPr>
          <w:rFonts w:hint="default" w:ascii="Times New Roman" w:hAnsi="Times New Roman" w:cs="Times New Roman"/>
          <w:lang w:val="en-US" w:eastAsia="zh-CN"/>
        </w:rPr>
        <w:t>有水氟硅酸（50t/a）、有水氢氟酸（500t/a）、有水氟硼酸（100t/a）、氟硅酸钠（500t/a）、氟铝酸钾（10t/a）、氟铝酸钠（5t/a）、氟化钡（500t/a）、氟化钠（50t/a）、氟化氢钠（500t/a）、氟化锌（5t/a）、氟化锶（20t/a）、氟化锂（5t/a）等12种产品。</w:t>
      </w:r>
      <w:r>
        <w:rPr>
          <w:rFonts w:hint="eastAsia" w:cs="Times New Roman"/>
          <w:lang w:val="en-US" w:eastAsia="zh-CN"/>
        </w:rPr>
        <w:t>上述改造内容在《上饶市广氟医药化工有限公司5000吨无机氟盐技术改造项目安全验收评价报告》于2020年12月24日通过验收。</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②工艺变更情况</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该公司工艺于2021年</w:t>
      </w:r>
      <w:r>
        <w:rPr>
          <w:rFonts w:hint="eastAsia" w:cs="Times New Roman"/>
          <w:lang w:val="en-US" w:eastAsia="zh-CN"/>
        </w:rPr>
        <w:t>新增有水氟硅酸（50t/a）、有水氢氟酸（500t/a）、有水氟硼酸（100t/a）、氟硅酸钠（500t/a）、氟铝酸钾（10t/a）、氟铝酸钠（5t/a）、氟化钡（500t/a）、氟化钠（50t/a）、氟化氢钠（500t/a）、氟化锌（5t/a）、氟化锶（20t/a）、氟化锂（5t/a）等12种产品的生产工艺</w:t>
      </w:r>
      <w:r>
        <w:rPr>
          <w:rFonts w:hint="default" w:ascii="Times New Roman" w:hAnsi="Times New Roman" w:cs="Times New Roman"/>
          <w:lang w:val="en-US" w:eastAsia="zh-CN"/>
        </w:rPr>
        <w:t>。上述改造内容在《上饶市广氟医药化工有限公司5000吨无机氟盐技术改造项目安全验收评价报告》于</w:t>
      </w:r>
      <w:r>
        <w:rPr>
          <w:rFonts w:hint="eastAsia" w:cs="Times New Roman"/>
          <w:lang w:val="en-US" w:eastAsia="zh-CN"/>
        </w:rPr>
        <w:t>2020年12月24日</w:t>
      </w:r>
      <w:r>
        <w:rPr>
          <w:rFonts w:hint="default" w:ascii="Times New Roman" w:hAnsi="Times New Roman" w:cs="Times New Roman"/>
          <w:lang w:val="en-US" w:eastAsia="zh-CN"/>
        </w:rPr>
        <w:t>通过验收。</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③生产装置变更情况</w:t>
      </w:r>
    </w:p>
    <w:p>
      <w:pPr>
        <w:ind w:firstLine="560" w:firstLineChars="200"/>
        <w:rPr>
          <w:rFonts w:hint="default" w:ascii="Times New Roman" w:hAnsi="Times New Roman" w:cs="Times New Roman"/>
          <w:lang w:val="en-US" w:eastAsia="zh-CN"/>
        </w:rPr>
      </w:pPr>
      <w:r>
        <w:rPr>
          <w:rFonts w:hint="eastAsia" w:cs="Times New Roman"/>
          <w:lang w:val="en-US" w:eastAsia="zh-CN"/>
        </w:rPr>
        <w:t>该公司于2021年新增有水氟硅酸（50t/a）、有水氢氟酸（500t/a）、有水氟硼酸（100t/a）、氟硅酸钠（500t/a）、氟铝酸钾（10t/a）、氟铝酸钠（5t/a）、氟化钡（500t/a）、氟化钠（50t/a）、氟化氢钠（500t/a）、氟化锌（5t/a）、氟化锶（20t/a）、氟化锂（5t/a）等12种产品的配套的生产装置未新增，均套用原有设备生产。</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该公司</w:t>
      </w:r>
      <w:r>
        <w:rPr>
          <w:rFonts w:hint="eastAsia" w:cs="Times New Roman"/>
          <w:lang w:val="en-US" w:eastAsia="zh-CN"/>
        </w:rPr>
        <w:t>于2023年将201原料罐区的11个储罐在原位置更换成新的同型号储罐</w:t>
      </w:r>
      <w:r>
        <w:rPr>
          <w:rFonts w:hint="default" w:ascii="Times New Roman" w:hAnsi="Times New Roman" w:cs="Times New Roman"/>
          <w:lang w:val="en-US" w:eastAsia="zh-CN"/>
        </w:rPr>
        <w:t>。</w:t>
      </w:r>
    </w:p>
    <w:p>
      <w:pPr>
        <w:ind w:firstLine="560" w:firstLineChars="200"/>
        <w:rPr>
          <w:rFonts w:hint="default" w:ascii="Times New Roman" w:hAnsi="Times New Roman" w:cs="Times New Roman"/>
          <w:lang w:val="en-US" w:eastAsia="zh-CN"/>
        </w:rPr>
      </w:pPr>
      <w:r>
        <w:rPr>
          <w:rFonts w:hint="eastAsia" w:cs="Times New Roman"/>
          <w:lang w:val="en-US" w:eastAsia="zh-CN"/>
        </w:rPr>
        <w:t>其他生产装置未发生变更。</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3、原辅材料</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该公司原辅材料于2021年新增有水氟硅酸（50t/a）、有水氢氟酸（500t/a）、有水氟硼酸（100t/a）、氟硅酸钠（500t/a）、氟铝酸钾（10t/a）、氟铝酸钠（5t/a）、氟化钡（500t/a）、氟化钠（50t/a）、氟化氢钠（500t/a）、氟化锌（5t/a）、氟化锶（20t/a）、氟化锂（5t/a）等12种产品的</w:t>
      </w:r>
      <w:r>
        <w:rPr>
          <w:rFonts w:hint="eastAsia" w:cs="Times New Roman"/>
          <w:lang w:val="en-US" w:eastAsia="zh-CN"/>
        </w:rPr>
        <w:t>配套原辅料</w:t>
      </w:r>
      <w:r>
        <w:rPr>
          <w:rFonts w:hint="default" w:ascii="Times New Roman" w:hAnsi="Times New Roman" w:cs="Times New Roman"/>
          <w:lang w:val="en-US" w:eastAsia="zh-CN"/>
        </w:rPr>
        <w:t>。</w:t>
      </w:r>
      <w:r>
        <w:rPr>
          <w:rFonts w:hint="eastAsia" w:cs="Times New Roman"/>
          <w:lang w:val="en-US" w:eastAsia="zh-CN"/>
        </w:rPr>
        <w:t>主要新增碳酸钠、氢氧化铝、碳酸钾、碳酸钡、碳酸锶、碳酸锂、氟硅酸钠、氟硼酸、氟铝酸钾、氟铝酸钠、氟化钡、氟化钠、氟化氢钠、氟化锶、氟化锌、氟化锂、硼酸、碳酸锌等，</w:t>
      </w:r>
      <w:r>
        <w:rPr>
          <w:rFonts w:hint="default" w:ascii="Times New Roman" w:hAnsi="Times New Roman" w:cs="Times New Roman"/>
          <w:lang w:val="en-US" w:eastAsia="zh-CN"/>
        </w:rPr>
        <w:t>上述改造内容在《上饶市广氟医药化工有限公司5000吨无机氟盐技术改造项目安全验收评价报告》于</w:t>
      </w:r>
      <w:r>
        <w:rPr>
          <w:rFonts w:hint="eastAsia" w:cs="Times New Roman"/>
          <w:lang w:val="en-US" w:eastAsia="zh-CN"/>
        </w:rPr>
        <w:t>2020年12月24日</w:t>
      </w:r>
      <w:r>
        <w:rPr>
          <w:rFonts w:hint="default" w:ascii="Times New Roman" w:hAnsi="Times New Roman" w:cs="Times New Roman"/>
          <w:lang w:val="en-US" w:eastAsia="zh-CN"/>
        </w:rPr>
        <w:t>通过验收。</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4、总图变化情况</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总图上已体现地方：该公司205原料仓库二（丁）与402生产研发楼（民）防火间距不足，企业对205原料仓库二不符合部分进行拆除</w:t>
      </w:r>
      <w:r>
        <w:rPr>
          <w:rFonts w:hint="eastAsia" w:cs="Times New Roman"/>
          <w:lang w:val="en-US" w:eastAsia="zh-CN"/>
        </w:rPr>
        <w:t>，目前停用</w:t>
      </w:r>
      <w:r>
        <w:rPr>
          <w:rFonts w:hint="default" w:ascii="Times New Roman" w:hAnsi="Times New Roman" w:cs="Times New Roman"/>
          <w:lang w:val="en-US" w:eastAsia="zh-CN"/>
        </w:rPr>
        <w:t>。</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总图上未体现地方：</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该公司的206成品仓库二未建设；207原料仓库一、205原料仓库二</w:t>
      </w:r>
      <w:r>
        <w:rPr>
          <w:rFonts w:hint="eastAsia" w:cs="Times New Roman"/>
          <w:lang w:val="en-US" w:eastAsia="zh-CN"/>
        </w:rPr>
        <w:t>、</w:t>
      </w:r>
      <w:r>
        <w:rPr>
          <w:rFonts w:hint="default" w:ascii="Times New Roman" w:hAnsi="Times New Roman" w:cs="Times New Roman"/>
          <w:lang w:val="en-US" w:eastAsia="zh-CN"/>
        </w:rPr>
        <w:t>302成品仓库、303煤堆场已停用。</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5、公用辅助设施</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1、供热：停用燃煤锅炉系统，原有蒸汽加热的烘干机拆除，仅使用电加热的烘干机。</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2、自动化控制系统：为提升本质安全，最大限度减少作业场所人员，保证工艺参数更加准确，该公司于2022年9月对现有生产装置进行了自动化改造，由北京慎恒工程设计有限公司出具了《上饶市广氟医药化工有限公司自动化控制诊断报告》，根据诊断报告进行了整改。主要内容包括：①40%氢氟酸储罐进料切断阀SV-20101更换为气动切断阀；②36%氟硅酸储罐(V20102A~D、V20103、V20104A~E)和(V20201A~F)就地液位计更换为衬塑的磁翻板带远传液位计；③V206氟硅酸中间槽、V209氟硅酸高位槽、V204A氟硼酸中间罐、V204C有水氢氟酸高位槽设置雷达式集中液位计，并增加溢流管道；④V204D碱液罐设置雷达式集中液位计；⑤</w:t>
      </w:r>
      <w:r>
        <w:rPr>
          <w:rFonts w:hint="eastAsia" w:cs="Times New Roman"/>
          <w:lang w:val="en-US" w:eastAsia="zh-CN"/>
        </w:rPr>
        <w:t>将原控制室改造为现场机柜间</w:t>
      </w:r>
      <w:r>
        <w:rPr>
          <w:rFonts w:hint="default" w:ascii="Times New Roman" w:hAnsi="Times New Roman" w:cs="Times New Roman"/>
          <w:lang w:val="en-US" w:eastAsia="zh-CN"/>
        </w:rPr>
        <w:t>，在办公楼设置新的控制室，将DCS操作站和气体报警器移至办公楼控制室，集中在402生产研发楼控制室进行现场生产监控和操作。企业出具了承诺书，于2023年底完成自动化改造提升。</w:t>
      </w:r>
    </w:p>
    <w:p>
      <w:pPr>
        <w:pStyle w:val="4"/>
        <w:rPr>
          <w:rFonts w:hint="default" w:ascii="Times New Roman" w:hAnsi="Times New Roman" w:cs="Times New Roman"/>
        </w:rPr>
      </w:pPr>
      <w:bookmarkStart w:id="13" w:name="_Toc2541"/>
      <w:bookmarkStart w:id="14" w:name="_Toc25919"/>
      <w:bookmarkStart w:id="15" w:name="_Toc4270"/>
      <w:bookmarkStart w:id="16" w:name="_Toc27927"/>
      <w:r>
        <w:rPr>
          <w:rFonts w:hint="default" w:ascii="Times New Roman" w:hAnsi="Times New Roman" w:cs="Times New Roman"/>
        </w:rPr>
        <w:t>2.</w:t>
      </w:r>
      <w:r>
        <w:rPr>
          <w:rFonts w:hint="default" w:ascii="Times New Roman" w:hAnsi="Times New Roman" w:cs="Times New Roman"/>
          <w:lang w:val="en-US" w:eastAsia="zh-CN"/>
        </w:rPr>
        <w:t>3</w:t>
      </w:r>
      <w:r>
        <w:rPr>
          <w:rFonts w:hint="default" w:ascii="Times New Roman" w:hAnsi="Times New Roman" w:cs="Times New Roman"/>
        </w:rPr>
        <w:t>主要生产工艺</w:t>
      </w:r>
      <w:bookmarkEnd w:id="13"/>
    </w:p>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3</w:t>
      </w:r>
      <w:r>
        <w:rPr>
          <w:rFonts w:hint="default" w:ascii="Times New Roman" w:hAnsi="Times New Roman" w:cs="Times New Roman"/>
        </w:rPr>
        <w:t>.1工艺流程</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氟硅酸系</w:t>
      </w:r>
    </w:p>
    <w:p>
      <w:pPr>
        <w:ind w:firstLine="560" w:firstLineChars="200"/>
        <w:rPr>
          <w:rFonts w:hint="default" w:ascii="Times New Roman" w:hAnsi="Times New Roman" w:cs="Times New Roman"/>
        </w:rPr>
      </w:pPr>
      <w:r>
        <w:rPr>
          <w:rFonts w:hint="default" w:ascii="Times New Roman" w:hAnsi="Times New Roman" w:cs="Times New Roman"/>
        </w:rPr>
        <w:t>氟硅酸系产品反应原理：氟硅酸加入反应器中，再加入石英砂，除去氟硅酸中的氢氟酸，过滤除杂得到40%精制氟硅酸，再将精制氟硅酸投入反应器中，加入碳酸盐中和或氯化盐沉淀，得到各种氟硅酸盐，经冷却结晶脱水干燥粉碎得成品，氟硅酸钾、氟硅酸钡等溶解度较低，其母液(氟硅酸钾碳酸盐中和的母液pH值6-7、氯化盐沉淀的母液经氢氧化钙中和至pH=8)脱水后直接并入工厂污水处理系统。其他氟硅酸盐母液全部回收浓缩结晶处理，回收产品。</w:t>
      </w:r>
    </w:p>
    <w:p>
      <w:pPr>
        <w:ind w:firstLine="560" w:firstLineChars="200"/>
        <w:rPr>
          <w:rFonts w:hint="default" w:ascii="Times New Roman" w:hAnsi="Times New Roman" w:cs="Times New Roman"/>
        </w:rPr>
      </w:pPr>
      <w:r>
        <w:rPr>
          <w:rFonts w:hint="default" w:ascii="Times New Roman" w:hAnsi="Times New Roman" w:cs="Times New Roman"/>
        </w:rPr>
        <w:t>氟硅酸系产品反应流程图：</w:t>
      </w:r>
    </w:p>
    <w:p>
      <w:pPr>
        <w:spacing w:line="240" w:lineRule="auto"/>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748020" cy="1332230"/>
            <wp:effectExtent l="0" t="0" r="5080" b="127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5"/>
                    <a:stretch>
                      <a:fillRect/>
                    </a:stretch>
                  </pic:blipFill>
                  <pic:spPr>
                    <a:xfrm>
                      <a:off x="0" y="0"/>
                      <a:ext cx="5748020" cy="1332230"/>
                    </a:xfrm>
                    <a:prstGeom prst="rect">
                      <a:avLst/>
                    </a:prstGeom>
                  </pic:spPr>
                </pic:pic>
              </a:graphicData>
            </a:graphic>
          </wp:inline>
        </w:drawing>
      </w:r>
    </w:p>
    <w:p>
      <w:pPr>
        <w:ind w:firstLine="56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rPr>
        <w:t>氟硅酸精制</w:t>
      </w:r>
    </w:p>
    <w:p>
      <w:pPr>
        <w:ind w:firstLine="560" w:firstLineChars="200"/>
        <w:rPr>
          <w:rFonts w:hint="default" w:ascii="Times New Roman" w:hAnsi="Times New Roman" w:cs="Times New Roman"/>
        </w:rPr>
      </w:pPr>
      <w:r>
        <w:rPr>
          <w:rFonts w:hint="default" w:ascii="Times New Roman" w:hAnsi="Times New Roman" w:cs="Times New Roman"/>
        </w:rPr>
        <w:t>在反应釜中投入3吨左右氟硅酸，加入过量的约140kg石英砂(二氧化硅)，开始搅拌，在常温下反应8-10小时，测定游离氢氟酸含量应低于0.5%以下，停止搅拌，静止沉淀2小时，用微孔过滤器过滤，以防过量的二氧化硅进入产品中，过滤后的清液进行包装出售或进入下一道工序生产氟硅酸盐。过量的石英砂(二氧化硅)存留釜中继续使用。</w:t>
      </w:r>
    </w:p>
    <w:p>
      <w:pPr>
        <w:ind w:firstLine="560" w:firstLineChars="200"/>
        <w:rPr>
          <w:rFonts w:hint="default" w:ascii="Times New Roman" w:hAnsi="Times New Roman" w:cs="Times New Roman"/>
        </w:rPr>
      </w:pPr>
      <w:r>
        <w:rPr>
          <w:rFonts w:hint="default" w:ascii="Times New Roman" w:hAnsi="Times New Roman" w:cs="Times New Roman"/>
        </w:rPr>
        <w:t>反应方程式：</w:t>
      </w:r>
      <w:r>
        <w:rPr>
          <w:rFonts w:hint="default" w:ascii="Times New Roman" w:hAnsi="Times New Roman" w:cs="Times New Roman"/>
          <w:position w:val="-12"/>
        </w:rPr>
        <w:object>
          <v:shape id="_x0000_i1025" o:spt="75" type="#_x0000_t75" style="height:19pt;width:154pt;" o:ole="t" filled="f" o:preferrelative="t" stroked="f" coordsize="21600,21600">
            <v:path/>
            <v:fill on="f" alignshape="1" focussize="0,0"/>
            <v:stroke on="f"/>
            <v:imagedata r:id="rId17" o:title=""/>
            <o:lock v:ext="edit" aspectratio="t"/>
            <w10:wrap type="none"/>
            <w10:anchorlock/>
          </v:shape>
          <o:OLEObject Type="Embed" ProgID="Equation.DSMT4" ShapeID="_x0000_i1025" DrawAspect="Content" ObjectID="_1468075725" r:id="rId16">
            <o:LockedField>false</o:LockedField>
          </o:OLEObject>
        </w:object>
      </w:r>
    </w:p>
    <w:p>
      <w:pPr>
        <w:ind w:firstLine="56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rPr>
        <w:t>氟硅酸钾</w:t>
      </w:r>
    </w:p>
    <w:p>
      <w:pPr>
        <w:ind w:firstLine="560" w:firstLineChars="200"/>
        <w:rPr>
          <w:rFonts w:hint="default" w:ascii="Times New Roman" w:hAnsi="Times New Roman" w:cs="Times New Roman"/>
        </w:rPr>
      </w:pPr>
      <w:r>
        <w:rPr>
          <w:rFonts w:hint="default" w:ascii="Times New Roman" w:hAnsi="Times New Roman" w:cs="Times New Roman"/>
        </w:rPr>
        <w:t>在反应釜中投入2吨左右的精制氟硅酸，在搅拌下加入碳酸钾(氯化钾)中和，温度控制在60℃，待PH值达5.2-6左右时，用氢氧化钾中和至PH值达7左右。本过程使用碳酸钾或氢氧化钾为原料时为放热反应，使用氯化钾为原料时为吸热反应。中和过程用水冷却或用蒸汽加热，除去反应热和增加反应动力。反应完成后，冷却、离心脱水、干燥、包装。该产品生产过程产生的母液每吨含有1.6kg的氟硅酸钾和未反应完全的1.6kg的氟硅酸，其母液中氟离子浓度高达1600mg/L。</w:t>
      </w:r>
    </w:p>
    <w:p>
      <w:pPr>
        <w:ind w:firstLine="560" w:firstLineChars="200"/>
        <w:rPr>
          <w:rFonts w:hint="default" w:ascii="Times New Roman" w:hAnsi="Times New Roman" w:cs="Times New Roman"/>
          <w:position w:val="-12"/>
        </w:rPr>
      </w:pPr>
      <w:r>
        <w:rPr>
          <w:rFonts w:hint="default" w:ascii="Times New Roman" w:hAnsi="Times New Roman" w:cs="Times New Roman"/>
        </w:rPr>
        <w:t>反应方程式：</w:t>
      </w:r>
      <w:r>
        <w:rPr>
          <w:rFonts w:hint="default" w:ascii="Times New Roman" w:hAnsi="Times New Roman" w:cs="Times New Roman"/>
          <w:position w:val="-12"/>
        </w:rPr>
        <w:object>
          <v:shape id="_x0000_i1026" o:spt="75" type="#_x0000_t75" style="height:18pt;width:195pt;" o:ole="t" filled="f" o:preferrelative="t" stroked="f" coordsize="21600,21600">
            <v:path/>
            <v:fill on="f" focussize="0,0"/>
            <v:stroke on="f"/>
            <v:imagedata r:id="rId19" o:title=""/>
            <o:lock v:ext="edit" aspectratio="t"/>
            <w10:wrap type="none"/>
            <w10:anchorlock/>
          </v:shape>
          <o:OLEObject Type="Embed" ProgID="Equation.KSEE3" ShapeID="_x0000_i1026" DrawAspect="Content" ObjectID="_1468075726" r:id="rId18">
            <o:LockedField>false</o:LockedField>
          </o:OLEObject>
        </w:object>
      </w:r>
    </w:p>
    <w:p>
      <w:pPr>
        <w:pStyle w:val="6"/>
        <w:ind w:firstLine="2310" w:firstLineChars="1100"/>
        <w:rPr>
          <w:rFonts w:hint="default" w:ascii="Times New Roman" w:hAnsi="Times New Roman" w:cs="Times New Roman"/>
        </w:rPr>
      </w:pPr>
      <w:r>
        <w:rPr>
          <w:rFonts w:hint="default" w:ascii="Times New Roman" w:hAnsi="Times New Roman" w:cs="Times New Roman"/>
          <w:position w:val="-12"/>
        </w:rPr>
        <w:object>
          <v:shape id="_x0000_i1027" o:spt="75" type="#_x0000_t75" style="height:18pt;width:163pt;" o:ole="t" filled="f" o:preferrelative="t" stroked="f" coordsize="21600,21600">
            <v:path/>
            <v:fill on="f" focussize="0,0"/>
            <v:stroke on="f"/>
            <v:imagedata r:id="rId21" o:title=""/>
            <o:lock v:ext="edit" aspectratio="t"/>
            <w10:wrap type="none"/>
            <w10:anchorlock/>
          </v:shape>
          <o:OLEObject Type="Embed" ProgID="Equation.KSEE3" ShapeID="_x0000_i1027" DrawAspect="Content" ObjectID="_1468075727" r:id="rId20">
            <o:LockedField>false</o:LockedField>
          </o:OLEObject>
        </w:object>
      </w:r>
    </w:p>
    <w:p>
      <w:pPr>
        <w:ind w:firstLine="560" w:firstLineChars="200"/>
        <w:rPr>
          <w:rFonts w:hint="default" w:ascii="Times New Roman" w:hAnsi="Times New Roman" w:cs="Times New Roman"/>
        </w:rPr>
      </w:pPr>
      <w:r>
        <w:rPr>
          <w:rFonts w:hint="default" w:ascii="Times New Roman" w:hAnsi="Times New Roman" w:cs="Times New Roman"/>
        </w:rPr>
        <w:t>（3）氟硅酸锌</w:t>
      </w:r>
    </w:p>
    <w:p>
      <w:pPr>
        <w:ind w:firstLine="560" w:firstLineChars="200"/>
        <w:rPr>
          <w:rFonts w:hint="default" w:ascii="Times New Roman" w:hAnsi="Times New Roman" w:cs="Times New Roman"/>
        </w:rPr>
      </w:pPr>
      <w:r>
        <w:rPr>
          <w:rFonts w:hint="default" w:ascii="Times New Roman" w:hAnsi="Times New Roman" w:cs="Times New Roman"/>
        </w:rPr>
        <w:t>在反应釜中投入2吨左右的精制氟硅酸，在搅拌下加入碳酸锌，温度控制在60℃，待pH达7左右，停止加入碳酸锌。本过程为吸热反应。中和过程用热水加热，反应完成后，过滤、浓缩、冷却结晶、离心脱水、干燥、包装。本产品在母液中的溶解度20℃达36.2%，即每吨母液中含有362kg产品。母液经浓缩后，冷却结晶、脱水、干燥、包装。本产品无废水产生。</w:t>
      </w:r>
    </w:p>
    <w:p>
      <w:pPr>
        <w:ind w:firstLine="560" w:firstLineChars="200"/>
        <w:rPr>
          <w:rFonts w:hint="default" w:ascii="Times New Roman" w:hAnsi="Times New Roman" w:cs="Times New Roman"/>
        </w:rPr>
      </w:pPr>
      <w:r>
        <w:rPr>
          <w:rFonts w:hint="default" w:ascii="Times New Roman" w:hAnsi="Times New Roman" w:cs="Times New Roman"/>
        </w:rPr>
        <w:t>反应方程式：</w:t>
      </w:r>
      <w:r>
        <w:rPr>
          <w:rFonts w:hint="default" w:ascii="Times New Roman" w:hAnsi="Times New Roman" w:cs="Times New Roman"/>
          <w:position w:val="-12"/>
        </w:rPr>
        <w:object>
          <v:shape id="_x0000_i1028" o:spt="75" type="#_x0000_t75" style="height:18pt;width:238pt;" o:ole="t" filled="f" o:preferrelative="t" stroked="f" coordsize="21600,21600">
            <v:path/>
            <v:fill on="f" focussize="0,0"/>
            <v:stroke on="f"/>
            <v:imagedata r:id="rId23" o:title=""/>
            <o:lock v:ext="edit" aspectratio="t"/>
            <w10:wrap type="none"/>
            <w10:anchorlock/>
          </v:shape>
          <o:OLEObject Type="Embed" ProgID="Equation.KSEE3" ShapeID="_x0000_i1028" DrawAspect="Content" ObjectID="_1468075728" r:id="rId22">
            <o:LockedField>false</o:LockedField>
          </o:OLEObject>
        </w:object>
      </w:r>
    </w:p>
    <w:p>
      <w:pPr>
        <w:ind w:firstLine="56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rPr>
        <w:t>氟硅酸钡</w:t>
      </w:r>
    </w:p>
    <w:p>
      <w:pPr>
        <w:ind w:firstLine="560" w:firstLineChars="200"/>
        <w:rPr>
          <w:rFonts w:hint="default" w:ascii="Times New Roman" w:hAnsi="Times New Roman" w:cs="Times New Roman"/>
        </w:rPr>
      </w:pPr>
      <w:r>
        <w:rPr>
          <w:rFonts w:hint="default" w:ascii="Times New Roman" w:hAnsi="Times New Roman" w:cs="Times New Roman"/>
        </w:rPr>
        <w:t>在反应釜中投入2吨左右的精制氟硅酸，在搅拌下加入碳酸钡，温度控制在60℃，待pH达7左右，停止加入碳酸钡。本过程为一吸热反应。中和过程用热水加热，反应完成后，冷却、离心脱水、干燥、包装。该产品生产过程产生的母液每吨含0.27kg的氟硅酸钾和未反应完全的1.6kg的氟硅酸，其母液中氟离子浓度高达1000mg/L。</w:t>
      </w:r>
    </w:p>
    <w:p>
      <w:pPr>
        <w:ind w:firstLine="560" w:firstLineChars="200"/>
        <w:rPr>
          <w:rFonts w:hint="default" w:ascii="Times New Roman" w:hAnsi="Times New Roman" w:cs="Times New Roman"/>
        </w:rPr>
      </w:pPr>
      <w:r>
        <w:rPr>
          <w:rFonts w:hint="default" w:ascii="Times New Roman" w:hAnsi="Times New Roman" w:cs="Times New Roman"/>
        </w:rPr>
        <w:t>反应方程式：</w:t>
      </w:r>
      <w:r>
        <w:rPr>
          <w:rFonts w:hint="default" w:ascii="Times New Roman" w:hAnsi="Times New Roman" w:cs="Times New Roman"/>
          <w:position w:val="-12"/>
        </w:rPr>
        <w:object>
          <v:shape id="_x0000_i1029" o:spt="75" type="#_x0000_t75" style="height:19pt;width:203pt;" o:ole="t" filled="f" o:preferrelative="t" stroked="f" coordsize="21600,21600">
            <v:path/>
            <v:fill on="f" alignshape="1" focussize="0,0"/>
            <v:stroke on="f"/>
            <v:imagedata r:id="rId25" o:title=""/>
            <o:lock v:ext="edit" aspectratio="t"/>
            <w10:wrap type="none"/>
            <w10:anchorlock/>
          </v:shape>
          <o:OLEObject Type="Embed" ProgID="Equation.DSMT4" ShapeID="_x0000_i1029" DrawAspect="Content" ObjectID="_1468075729" r:id="rId24">
            <o:LockedField>false</o:LockedField>
          </o:OLEObject>
        </w:object>
      </w:r>
    </w:p>
    <w:p>
      <w:pPr>
        <w:ind w:firstLine="56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rPr>
        <w:t>5</w:t>
      </w:r>
      <w:r>
        <w:rPr>
          <w:rFonts w:hint="default" w:ascii="Times New Roman" w:hAnsi="Times New Roman" w:cs="Times New Roman"/>
          <w:lang w:eastAsia="zh-CN"/>
        </w:rPr>
        <w:t>）</w:t>
      </w:r>
      <w:r>
        <w:rPr>
          <w:rFonts w:hint="default" w:ascii="Times New Roman" w:hAnsi="Times New Roman" w:cs="Times New Roman"/>
        </w:rPr>
        <w:t>氟硅酸镁</w:t>
      </w:r>
    </w:p>
    <w:p>
      <w:pPr>
        <w:ind w:firstLine="560" w:firstLineChars="200"/>
        <w:rPr>
          <w:rFonts w:hint="default" w:ascii="Times New Roman" w:hAnsi="Times New Roman" w:cs="Times New Roman"/>
        </w:rPr>
      </w:pPr>
      <w:r>
        <w:rPr>
          <w:rFonts w:hint="default" w:ascii="Times New Roman" w:hAnsi="Times New Roman" w:cs="Times New Roman"/>
        </w:rPr>
        <w:t>在反应釜中投入2吨左右的精制氟硅酸，在搅拌下加入碳酸镁或氧化镁，温度控制在60℃，待pH达7左右，停止加镁或氧化镁，本过程为吸热反应。中和过程用温水加热，反应完成后，过滤、浓缩、冷却结晶、离心脱水、干燥、包装。本产品在母液中的溶解度20℃达64.62%，经浓缩后，冷却结晶、脱水、干燥、包装。本产品无废水产生。</w:t>
      </w:r>
    </w:p>
    <w:p>
      <w:pPr>
        <w:ind w:firstLine="560" w:firstLineChars="200"/>
        <w:rPr>
          <w:rFonts w:hint="default" w:ascii="Times New Roman" w:hAnsi="Times New Roman" w:cs="Times New Roman"/>
        </w:rPr>
      </w:pPr>
      <w:r>
        <w:rPr>
          <w:rFonts w:hint="default" w:ascii="Times New Roman" w:hAnsi="Times New Roman" w:cs="Times New Roman"/>
        </w:rPr>
        <w:t>反应方程式：</w:t>
      </w:r>
      <w:r>
        <w:rPr>
          <w:rFonts w:hint="default" w:ascii="Times New Roman" w:hAnsi="Times New Roman" w:cs="Times New Roman"/>
          <w:position w:val="-12"/>
        </w:rPr>
        <w:object>
          <v:shape id="_x0000_i1030" o:spt="75" type="#_x0000_t75" style="height:19pt;width:244pt;" o:ole="t" filled="f" o:preferrelative="t" stroked="f" coordsize="21600,21600">
            <v:path/>
            <v:fill on="f" alignshape="1" focussize="0,0"/>
            <v:stroke on="f"/>
            <v:imagedata r:id="rId27" o:title=""/>
            <o:lock v:ext="edit" aspectratio="t"/>
            <w10:wrap type="none"/>
            <w10:anchorlock/>
          </v:shape>
          <o:OLEObject Type="Embed" ProgID="Equation.DSMT4" ShapeID="_x0000_i1030" DrawAspect="Content" ObjectID="_1468075730" r:id="rId26">
            <o:LockedField>false</o:LockedField>
          </o:OLEObject>
        </w:object>
      </w:r>
    </w:p>
    <w:p>
      <w:pPr>
        <w:ind w:firstLine="560" w:firstLineChars="200"/>
        <w:rPr>
          <w:rFonts w:hint="default" w:ascii="Times New Roman" w:hAnsi="Times New Roman" w:eastAsia="宋体" w:cs="Times New Roman"/>
          <w:lang w:val="en-US" w:eastAsia="zh-CN"/>
        </w:rPr>
      </w:pPr>
      <w:r>
        <w:rPr>
          <w:rFonts w:hint="default" w:ascii="Times New Roman" w:hAnsi="Times New Roman" w:cs="Times New Roman"/>
          <w:lang w:eastAsia="zh-CN"/>
        </w:rPr>
        <w:t>（</w:t>
      </w:r>
      <w:r>
        <w:rPr>
          <w:rFonts w:hint="default" w:ascii="Times New Roman" w:hAnsi="Times New Roman" w:cs="Times New Roman"/>
          <w:lang w:val="en-US" w:eastAsia="zh-CN"/>
        </w:rPr>
        <w:t>6）氟硅酸纳</w:t>
      </w:r>
    </w:p>
    <w:p>
      <w:pPr>
        <w:ind w:firstLine="560" w:firstLineChars="200"/>
        <w:rPr>
          <w:rFonts w:hint="default" w:ascii="Times New Roman" w:hAnsi="Times New Roman" w:cs="Times New Roman"/>
        </w:rPr>
      </w:pPr>
      <w:r>
        <w:rPr>
          <w:rFonts w:hint="default" w:ascii="Times New Roman" w:hAnsi="Times New Roman" w:cs="Times New Roman"/>
        </w:rPr>
        <w:t>由氟硅酸高位槽来的氟硅酸约2000Kg自流入氟硅酸高位槽，经计量加入氟硅酸钠反应釜，在搅拌下分批加入碳酸钠，在常温、常压状态下进行反应。当反应气泡渐少时减少碳酸钠的投料速率，分析pH，待pH达7左右，停止加入碳酸钠。反应完成后，物料进入离心机进行离心，离心后物料去干燥、包装。离心母液进入离心母液槽，经母液输送泵返回氟硅酸钠反应釜。氟硅酸中间罐和氟硅酸高位槽设置现场液位指示，设置溢流管线，液位超过溢流口后自动回流至201原料罐区有水氟硅酸储罐。</w:t>
      </w:r>
    </w:p>
    <w:p>
      <w:pPr>
        <w:snapToGrid w:val="0"/>
        <w:ind w:firstLine="560" w:firstLineChars="200"/>
        <w:jc w:val="both"/>
        <w:rPr>
          <w:rFonts w:hint="default" w:ascii="Times New Roman" w:hAnsi="Times New Roman" w:cs="Times New Roman"/>
        </w:rPr>
      </w:pPr>
      <w:r>
        <w:rPr>
          <w:rFonts w:hint="default" w:ascii="Times New Roman" w:hAnsi="Times New Roman" w:cs="Times New Roman"/>
          <w:lang w:val="en-US" w:eastAsia="zh-CN"/>
        </w:rPr>
        <w:t>反应方程式：</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SiF</w:t>
      </w:r>
      <w:r>
        <w:rPr>
          <w:rFonts w:hint="default" w:ascii="Times New Roman" w:hAnsi="Times New Roman" w:cs="Times New Roman"/>
          <w:vertAlign w:val="subscript"/>
        </w:rPr>
        <w:t>6</w:t>
      </w:r>
      <w:r>
        <w:rPr>
          <w:rFonts w:hint="default" w:ascii="Times New Roman" w:hAnsi="Times New Roman" w:cs="Times New Roman"/>
        </w:rPr>
        <w:t>+Na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+5H</w:t>
      </w:r>
      <w:r>
        <w:rPr>
          <w:rFonts w:hint="default" w:ascii="Times New Roman" w:hAnsi="Times New Roman" w:cs="Times New Roman"/>
          <w:vertAlign w:val="subscript"/>
        </w:rPr>
        <w:t>2</w:t>
      </w:r>
      <w:r>
        <w:rPr>
          <w:rFonts w:hint="default" w:ascii="Times New Roman" w:hAnsi="Times New Roman" w:cs="Times New Roman"/>
        </w:rPr>
        <w:t>O=Na</w:t>
      </w:r>
      <w:r>
        <w:rPr>
          <w:rFonts w:hint="default" w:ascii="Times New Roman" w:hAnsi="Times New Roman" w:cs="Times New Roman"/>
          <w:vertAlign w:val="subscript"/>
        </w:rPr>
        <w:t>2</w:t>
      </w:r>
      <w:r>
        <w:rPr>
          <w:rFonts w:hint="default" w:ascii="Times New Roman" w:hAnsi="Times New Roman" w:cs="Times New Roman"/>
        </w:rPr>
        <w:t>SiF</w:t>
      </w:r>
      <w:r>
        <w:rPr>
          <w:rFonts w:hint="default" w:ascii="Times New Roman" w:hAnsi="Times New Roman" w:cs="Times New Roman"/>
          <w:vertAlign w:val="subscript"/>
        </w:rPr>
        <w:t>6</w:t>
      </w:r>
      <w:r>
        <w:rPr>
          <w:rFonts w:hint="default" w:ascii="Times New Roman" w:hAnsi="Times New Roman" w:cs="Times New Roman"/>
        </w:rPr>
        <w:t>·6H</w:t>
      </w:r>
      <w:r>
        <w:rPr>
          <w:rFonts w:hint="default" w:ascii="Times New Roman" w:hAnsi="Times New Roman" w:cs="Times New Roman"/>
          <w:vertAlign w:val="subscript"/>
        </w:rPr>
        <w:t>2</w:t>
      </w:r>
      <w:r>
        <w:rPr>
          <w:rFonts w:hint="default" w:ascii="Times New Roman" w:hAnsi="Times New Roman" w:cs="Times New Roman"/>
        </w:rPr>
        <w:t>O+CO</w:t>
      </w:r>
      <w:r>
        <w:rPr>
          <w:rFonts w:hint="default" w:ascii="Times New Roman" w:hAnsi="Times New Roman" w:cs="Times New Roman"/>
          <w:vertAlign w:val="subscript"/>
        </w:rPr>
        <w:t>2</w:t>
      </w:r>
    </w:p>
    <w:p>
      <w:pPr>
        <w:ind w:firstLine="560" w:firstLineChars="200"/>
        <w:rPr>
          <w:rFonts w:hint="default" w:ascii="Times New Roman" w:hAnsi="Times New Roman" w:cs="Times New Roman"/>
        </w:rPr>
      </w:pPr>
      <w:r>
        <w:rPr>
          <w:rFonts w:hint="default" w:ascii="Times New Roman" w:hAnsi="Times New Roman" w:cs="Times New Roman"/>
        </w:rPr>
        <w:t>2、20%有水氢氟酸配置</w:t>
      </w:r>
    </w:p>
    <w:p>
      <w:pPr>
        <w:ind w:firstLine="560" w:firstLineChars="200"/>
        <w:rPr>
          <w:rFonts w:hint="default" w:ascii="Times New Roman" w:hAnsi="Times New Roman" w:cs="Times New Roman"/>
        </w:rPr>
      </w:pPr>
      <w:r>
        <w:rPr>
          <w:rFonts w:hint="default" w:ascii="Times New Roman" w:hAnsi="Times New Roman" w:cs="Times New Roman"/>
        </w:rPr>
        <w:t>加入来自罐区有水氢氟酸（40%）进入有水氢氟酸配置釜，搅拌、通夹套冷却水，吸收过程为常温、常压。控制无水氢氟酸的加入量，分析达20%浓度有水氢氟酸，经配置釜出料泵分别泵入有水氢氟酸中间罐，经有水氢氟酸输送泵打入有水氢氟酸中间槽进行暂存。</w:t>
      </w:r>
    </w:p>
    <w:p>
      <w:pPr>
        <w:ind w:firstLine="560" w:firstLineChars="200"/>
        <w:rPr>
          <w:rFonts w:hint="default" w:ascii="Times New Roman" w:hAnsi="Times New Roman" w:cs="Times New Roman"/>
        </w:rPr>
      </w:pPr>
      <w:r>
        <w:rPr>
          <w:rFonts w:hint="default" w:ascii="Times New Roman" w:hAnsi="Times New Roman" w:cs="Times New Roman"/>
        </w:rPr>
        <w:t>3、氟硼酸系</w:t>
      </w:r>
    </w:p>
    <w:p>
      <w:pPr>
        <w:ind w:firstLine="560" w:firstLineChars="200"/>
        <w:rPr>
          <w:rFonts w:hint="default" w:ascii="Times New Roman" w:hAnsi="Times New Roman" w:cs="Times New Roman"/>
        </w:rPr>
      </w:pPr>
      <w:r>
        <w:rPr>
          <w:rFonts w:hint="default" w:ascii="Times New Roman" w:hAnsi="Times New Roman" w:cs="Times New Roman"/>
        </w:rPr>
        <w:t>氟硼酸系产品反应原理：将氟硅酸投入反应器中，再加入硼酸，生成31.18%氟硼酸和二氧化硅，过滤除去二氧化硅，回收二氧化硅用于生产精制氟硅酸。生成的氟硼酸一部分浓缩得40%的氟硼酸，直接包装出售，另一部分31.18%氟硼酸用碳酸盐中和(或用氯化盐沉淀)经冷却结晶、脱水干燥粉碎得各种氟硼酸盐。氟硼酸钾脱水后的母液(碳酸盐中和的氟硼酸钾的母液pH值6～7，可直接并入工厂污水处理系统、氯化盐沉淀的氟硼酸钾母液经氢氧化钙中和至pH＝8)经沉淀回收产品后直接并入工厂污水处理系统。其余氟硼酸盐的母液全部回收，经浓缩回收产品。</w:t>
      </w:r>
    </w:p>
    <w:p>
      <w:pPr>
        <w:ind w:firstLine="560" w:firstLineChars="200"/>
        <w:rPr>
          <w:rFonts w:hint="default" w:ascii="Times New Roman" w:hAnsi="Times New Roman" w:cs="Times New Roman"/>
        </w:rPr>
      </w:pPr>
      <w:r>
        <w:rPr>
          <w:rFonts w:hint="default" w:ascii="Times New Roman" w:hAnsi="Times New Roman" w:cs="Times New Roman"/>
        </w:rPr>
        <w:t>氟硼酸系产品反应流程图：</w:t>
      </w:r>
    </w:p>
    <w:p>
      <w:pPr>
        <w:spacing w:line="240" w:lineRule="auto"/>
        <w:ind w:firstLine="56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5518150" cy="2476500"/>
            <wp:effectExtent l="0" t="0" r="6350" b="0"/>
            <wp:docPr id="1" name="图片 1" descr="168914190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9141902783"/>
                    <pic:cNvPicPr>
                      <a:picLocks noChangeAspect="1"/>
                    </pic:cNvPicPr>
                  </pic:nvPicPr>
                  <pic:blipFill>
                    <a:blip r:embed="rId28"/>
                    <a:stretch>
                      <a:fillRect/>
                    </a:stretch>
                  </pic:blipFill>
                  <pic:spPr>
                    <a:xfrm>
                      <a:off x="0" y="0"/>
                      <a:ext cx="5518150" cy="2476500"/>
                    </a:xfrm>
                    <a:prstGeom prst="rect">
                      <a:avLst/>
                    </a:prstGeom>
                  </pic:spPr>
                </pic:pic>
              </a:graphicData>
            </a:graphic>
          </wp:inline>
        </w:drawing>
      </w:r>
    </w:p>
    <w:p>
      <w:pPr>
        <w:numPr>
          <w:ilvl w:val="0"/>
          <w:numId w:val="5"/>
          <w:numberingChange w:id="0" w:author="FtpDown" w:date="2020-04-20T17:01:00Z" w:original="（%1:1:0:）"/>
        </w:numPr>
        <w:ind w:firstLine="560" w:firstLineChars="200"/>
        <w:rPr>
          <w:rFonts w:hint="default" w:ascii="Times New Roman" w:hAnsi="Times New Roman" w:cs="Times New Roman"/>
        </w:rPr>
      </w:pPr>
      <w:r>
        <w:rPr>
          <w:rFonts w:hint="default" w:ascii="Times New Roman" w:hAnsi="Times New Roman" w:cs="Times New Roman"/>
        </w:rPr>
        <w:t>氟硼酸</w:t>
      </w:r>
    </w:p>
    <w:p>
      <w:pPr>
        <w:ind w:firstLine="560" w:firstLineChars="200"/>
        <w:rPr>
          <w:rFonts w:hint="default" w:ascii="Times New Roman" w:hAnsi="Times New Roman" w:cs="Times New Roman"/>
        </w:rPr>
      </w:pPr>
      <w:r>
        <w:rPr>
          <w:rFonts w:hint="default" w:ascii="Times New Roman" w:hAnsi="Times New Roman" w:cs="Times New Roman"/>
        </w:rPr>
        <w:t>来自201原料罐区有水氢氟酸输送泵的有水氢氟酸（40%）通过管道通入配置釜内，按比例混合，搅拌，即可制备20%有水氢氟酸，制备好的20%有水氢氟酸经计量流入氟硼酸反应釜。固体硼酸投入氟硼酸反应釜，有水氢氟酸进行反应，控制溶液pH，待pH达7左右，停止加入硼酸，反应完成制得30%浓度的有水氟硼酸。反应完成后，物料进入抽滤器进行真空抽滤，滤液流入真空缓冲罐，再经氟硼酸输送泵打入氟硼酸中间罐（40%），然后经电子称去灌装。</w:t>
      </w:r>
    </w:p>
    <w:p>
      <w:pPr>
        <w:spacing w:line="240" w:lineRule="auto"/>
        <w:ind w:firstLine="560" w:firstLineChars="200"/>
        <w:rPr>
          <w:rFonts w:hint="default" w:ascii="Times New Roman" w:hAnsi="Times New Roman" w:cs="Times New Roman"/>
        </w:rPr>
      </w:pPr>
      <w:r>
        <w:rPr>
          <w:rFonts w:hint="default" w:ascii="Times New Roman" w:hAnsi="Times New Roman" w:cs="Times New Roman"/>
        </w:rPr>
        <w:t>反应方程式：</w:t>
      </w:r>
      <w:r>
        <w:rPr>
          <w:rFonts w:hint="default" w:ascii="Times New Roman" w:hAnsi="Times New Roman" w:cs="Times New Roman"/>
          <w:position w:val="-12"/>
        </w:rPr>
        <w:object>
          <v:shape id="_x0000_i1031" o:spt="75" type="#_x0000_t75" style="height:19pt;width:170pt;" o:ole="t" filled="f" o:preferrelative="t" stroked="f" coordsize="21600,21600">
            <v:path/>
            <v:fill on="f" focussize="0,0"/>
            <v:stroke on="f"/>
            <v:imagedata r:id="rId30" o:title=""/>
            <o:lock v:ext="edit" aspectratio="t"/>
            <w10:wrap type="none"/>
            <w10:anchorlock/>
          </v:shape>
          <o:OLEObject Type="Embed" ProgID="Equation.KSEE3" ShapeID="_x0000_i1031" DrawAspect="Content" ObjectID="_1468075731" r:id="rId29">
            <o:LockedField>false</o:LockedField>
          </o:OLEObject>
        </w:object>
      </w:r>
    </w:p>
    <w:p>
      <w:pPr>
        <w:numPr>
          <w:ilvl w:val="0"/>
          <w:numId w:val="5"/>
          <w:numberingChange w:id="1" w:author="FtpDown" w:date="2020-04-20T17:01:00Z" w:original="（%1:2:0:）"/>
        </w:numPr>
        <w:spacing w:line="240" w:lineRule="auto"/>
        <w:ind w:firstLine="560" w:firstLineChars="200"/>
        <w:rPr>
          <w:rFonts w:hint="default" w:ascii="Times New Roman" w:hAnsi="Times New Roman" w:cs="Times New Roman"/>
        </w:rPr>
      </w:pPr>
      <w:r>
        <w:rPr>
          <w:rFonts w:hint="default" w:ascii="Times New Roman" w:hAnsi="Times New Roman" w:cs="Times New Roman"/>
        </w:rPr>
        <w:t>氟硼酸钾</w:t>
      </w:r>
    </w:p>
    <w:p>
      <w:pPr>
        <w:ind w:firstLine="560" w:firstLineChars="200"/>
        <w:rPr>
          <w:rFonts w:hint="default" w:ascii="Times New Roman" w:hAnsi="Times New Roman" w:cs="Times New Roman"/>
        </w:rPr>
      </w:pPr>
      <w:r>
        <w:rPr>
          <w:rFonts w:hint="default" w:ascii="Times New Roman" w:hAnsi="Times New Roman" w:cs="Times New Roman"/>
        </w:rPr>
        <w:t>在反应釜中投入2吨左右的氟硼酸，在搅拌下加入碳酸钾，温度控制在60℃。本过程为放热反应。中和过程用水冷却，除去反应热。反应完成后，冷却、离心脱水、干燥、包装。该产品生产过程产生的母液每吨含有4.48kg的氟硼酸钾和未反应完全的1.2kg的氟硼酸，其母液中氟离子浓度高达3600mg/L。所以必须加以处理后排放。</w:t>
      </w:r>
    </w:p>
    <w:p>
      <w:pPr>
        <w:ind w:firstLine="560" w:firstLineChars="200"/>
        <w:rPr>
          <w:rFonts w:hint="default" w:ascii="Times New Roman" w:hAnsi="Times New Roman" w:cs="Times New Roman"/>
        </w:rPr>
      </w:pPr>
      <w:r>
        <w:rPr>
          <w:rFonts w:hint="default" w:ascii="Times New Roman" w:hAnsi="Times New Roman" w:cs="Times New Roman"/>
        </w:rPr>
        <w:t>反应方程式：</w:t>
      </w:r>
      <w:r>
        <w:rPr>
          <w:rFonts w:hint="default" w:ascii="Times New Roman" w:hAnsi="Times New Roman" w:cs="Times New Roman"/>
          <w:position w:val="-12"/>
        </w:rPr>
        <w:object>
          <v:shape id="_x0000_i1032" o:spt="75" type="#_x0000_t75" style="height:19pt;width:191pt;" o:ole="t" filled="f" stroked="f" coordsize="21600,21600">
            <v:path/>
            <v:fill on="f" focussize="0,0"/>
            <v:stroke on="f"/>
            <v:imagedata r:id="rId32" o:title=""/>
            <o:lock v:ext="edit" aspectratio="t"/>
            <w10:wrap type="none"/>
            <w10:anchorlock/>
          </v:shape>
          <o:OLEObject Type="Embed" ProgID="Equation.DSMT4" ShapeID="_x0000_i1032" DrawAspect="Content" ObjectID="_1468075732" r:id="rId31">
            <o:LockedField>false</o:LockedField>
          </o:OLEObject>
        </w:object>
      </w:r>
    </w:p>
    <w:p>
      <w:pPr>
        <w:numPr>
          <w:ilvl w:val="0"/>
          <w:numId w:val="5"/>
          <w:numberingChange w:id="2" w:author="FtpDown" w:date="2020-04-20T17:01:00Z" w:original="（%1:3:0:）"/>
        </w:numPr>
        <w:spacing w:line="240" w:lineRule="auto"/>
        <w:ind w:firstLine="560" w:firstLineChars="200"/>
        <w:rPr>
          <w:rFonts w:hint="default" w:ascii="Times New Roman" w:hAnsi="Times New Roman" w:cs="Times New Roman"/>
        </w:rPr>
      </w:pPr>
      <w:r>
        <w:rPr>
          <w:rFonts w:hint="default" w:ascii="Times New Roman" w:hAnsi="Times New Roman" w:cs="Times New Roman"/>
        </w:rPr>
        <w:t>氟硼酸钠</w:t>
      </w:r>
    </w:p>
    <w:p>
      <w:pPr>
        <w:ind w:firstLine="560" w:firstLineChars="200"/>
        <w:rPr>
          <w:rFonts w:hint="default" w:ascii="Times New Roman" w:hAnsi="Times New Roman" w:cs="Times New Roman"/>
        </w:rPr>
      </w:pPr>
      <w:r>
        <w:rPr>
          <w:rFonts w:hint="default" w:ascii="Times New Roman" w:hAnsi="Times New Roman" w:cs="Times New Roman"/>
        </w:rPr>
        <w:t>在反应釜中投入2吨左右的氟硼酸，在搅拌下加入碳酸钠中和，温度控制在60℃，待pH值达5.5-6左右时，用氢氧化钠继续中和至pH值达7～8，停止中和。本过程为放热反应。中和过程用水冷却，除去反应热。反应完成后，冷却、离心脱水、干燥、包装。母液再经浓缩后，冷却结晶、脱水、干燥、包装。本产品无废水产生。</w:t>
      </w:r>
    </w:p>
    <w:p>
      <w:pPr>
        <w:ind w:firstLine="560" w:firstLineChars="200"/>
        <w:rPr>
          <w:rFonts w:hint="default" w:ascii="Times New Roman" w:hAnsi="Times New Roman" w:cs="Times New Roman"/>
        </w:rPr>
      </w:pPr>
      <w:r>
        <w:rPr>
          <w:rFonts w:hint="default" w:ascii="Times New Roman" w:hAnsi="Times New Roman" w:cs="Times New Roman"/>
        </w:rPr>
        <w:t>反应方程式：</w:t>
      </w:r>
      <w:r>
        <w:rPr>
          <w:rFonts w:hint="default" w:ascii="Times New Roman" w:hAnsi="Times New Roman" w:cs="Times New Roman"/>
          <w:position w:val="-12"/>
        </w:rPr>
        <w:object>
          <v:shape id="_x0000_i1033" o:spt="75" type="#_x0000_t75" style="height:19pt;width:203pt;" o:ole="t" filled="f" stroked="f" coordsize="21600,21600">
            <v:path/>
            <v:fill on="f" focussize="0,0"/>
            <v:stroke on="f"/>
            <v:imagedata r:id="rId34" o:title=""/>
            <o:lock v:ext="edit" aspectratio="t"/>
            <w10:wrap type="none"/>
            <w10:anchorlock/>
          </v:shape>
          <o:OLEObject Type="Embed" ProgID="Equation.DSMT4" ShapeID="_x0000_i1033" DrawAspect="Content" ObjectID="_1468075733" r:id="rId33">
            <o:LockedField>false</o:LockedField>
          </o:OLEObject>
        </w:object>
      </w:r>
    </w:p>
    <w:p>
      <w:pPr>
        <w:numPr>
          <w:ilvl w:val="0"/>
          <w:numId w:val="5"/>
          <w:numberingChange w:id="3" w:author="FtpDown" w:date="2020-04-20T17:01:00Z" w:original="（%1:4:0:）"/>
        </w:numPr>
        <w:ind w:firstLine="560" w:firstLineChars="200"/>
        <w:rPr>
          <w:rFonts w:hint="default" w:ascii="Times New Roman" w:hAnsi="Times New Roman" w:cs="Times New Roman"/>
        </w:rPr>
      </w:pPr>
      <w:r>
        <w:rPr>
          <w:rFonts w:hint="default" w:ascii="Times New Roman" w:hAnsi="Times New Roman" w:cs="Times New Roman"/>
        </w:rPr>
        <w:t>氟硼酸锂</w:t>
      </w:r>
    </w:p>
    <w:p>
      <w:pPr>
        <w:ind w:firstLine="560" w:firstLineChars="200"/>
        <w:rPr>
          <w:rFonts w:hint="default" w:ascii="Times New Roman" w:hAnsi="Times New Roman" w:cs="Times New Roman"/>
        </w:rPr>
      </w:pPr>
      <w:r>
        <w:rPr>
          <w:rFonts w:hint="default" w:ascii="Times New Roman" w:hAnsi="Times New Roman" w:cs="Times New Roman"/>
        </w:rPr>
        <w:t>在反应釜中投入2吨左右的氟硼酸，在搅拌下加入碳酸锂中和，温度控制在60℃，待pH值达6-7左右时，停止中和。本过程为放热反应。中和过程用冷水加热，反应完成后，冷却、离心脱水、干燥、包装。母液再经浓缩后，冷却结晶、脱水、干燥、包装。本产品无废水产生。</w:t>
      </w:r>
    </w:p>
    <w:p>
      <w:pPr>
        <w:ind w:firstLine="560" w:firstLineChars="200"/>
        <w:rPr>
          <w:rFonts w:hint="default" w:ascii="Times New Roman" w:hAnsi="Times New Roman" w:cs="Times New Roman"/>
        </w:rPr>
      </w:pPr>
      <w:r>
        <w:rPr>
          <w:rFonts w:hint="default" w:ascii="Times New Roman" w:hAnsi="Times New Roman" w:cs="Times New Roman"/>
        </w:rPr>
        <w:t>反应方程式：</w:t>
      </w:r>
      <w:r>
        <w:rPr>
          <w:rFonts w:hint="default" w:ascii="Times New Roman" w:hAnsi="Times New Roman" w:cs="Times New Roman"/>
          <w:position w:val="-12"/>
        </w:rPr>
        <w:object>
          <v:shape id="_x0000_i1034" o:spt="75" type="#_x0000_t75" style="height:19pt;width:240.95pt;" o:ole="t" filled="f" o:preferrelative="t" stroked="f" coordsize="21600,21600">
            <v:path/>
            <v:fill on="f" alignshape="1" focussize="0,0"/>
            <v:stroke on="f"/>
            <v:imagedata r:id="rId36" o:title=""/>
            <o:lock v:ext="edit" aspectratio="t"/>
            <w10:wrap type="none"/>
            <w10:anchorlock/>
          </v:shape>
          <o:OLEObject Type="Embed" ProgID="Equation.DSMT4" ShapeID="_x0000_i1034" DrawAspect="Content" ObjectID="_1468075734" r:id="rId35">
            <o:LockedField>false</o:LockedField>
          </o:OLEObject>
        </w:object>
      </w:r>
    </w:p>
    <w:p>
      <w:pPr>
        <w:ind w:firstLine="560" w:firstLineChars="200"/>
        <w:rPr>
          <w:rFonts w:hint="default" w:ascii="Times New Roman" w:hAnsi="Times New Roman" w:eastAsia="宋体" w:cs="Times New Roman"/>
          <w:lang w:val="en-US" w:eastAsia="zh-CN"/>
        </w:rPr>
      </w:pPr>
      <w:r>
        <w:rPr>
          <w:rFonts w:hint="default" w:ascii="Times New Roman" w:hAnsi="Times New Roman" w:cs="Times New Roman"/>
        </w:rPr>
        <w:t>4、氟铝酸</w:t>
      </w:r>
      <w:r>
        <w:rPr>
          <w:rFonts w:hint="default" w:ascii="Times New Roman" w:hAnsi="Times New Roman" w:cs="Times New Roman"/>
          <w:lang w:val="en-US" w:eastAsia="zh-CN"/>
        </w:rPr>
        <w:t>系</w:t>
      </w:r>
    </w:p>
    <w:p>
      <w:pPr>
        <w:ind w:firstLine="560" w:firstLineChars="200"/>
        <w:rPr>
          <w:rFonts w:hint="default" w:ascii="Times New Roman" w:hAnsi="Times New Roman" w:cs="Times New Roman"/>
        </w:rPr>
      </w:pPr>
      <w:r>
        <w:rPr>
          <w:rFonts w:hint="default" w:ascii="Times New Roman" w:hAnsi="Times New Roman" w:cs="Times New Roman"/>
        </w:rPr>
        <w:t>（1）氟铝酸钾</w:t>
      </w:r>
    </w:p>
    <w:p>
      <w:pPr>
        <w:ind w:firstLine="560" w:firstLineChars="200"/>
        <w:rPr>
          <w:rFonts w:hint="default" w:ascii="Times New Roman" w:hAnsi="Times New Roman" w:cs="Times New Roman"/>
        </w:rPr>
      </w:pPr>
      <w:r>
        <w:rPr>
          <w:rFonts w:hint="default" w:ascii="Times New Roman" w:hAnsi="Times New Roman" w:cs="Times New Roman"/>
        </w:rPr>
        <w:t>来自原料罐区有水氢氟酸（40%）泵入有水氢氟酸计量槽V408A（B），经计量约2000Kg有水氢氟酸加入氟铝酸钾反应釜R405。在夹套冷却、搅拌下分批定量投入固体氢氧化铝，控制在60℃、常压状态下进行反应，得中间产物AlF</w:t>
      </w:r>
      <w:r>
        <w:rPr>
          <w:rFonts w:hint="default" w:ascii="Times New Roman" w:hAnsi="Times New Roman" w:cs="Times New Roman"/>
          <w:vertAlign w:val="subscript"/>
        </w:rPr>
        <w:t>3</w:t>
      </w:r>
      <w:r>
        <w:rPr>
          <w:rFonts w:hint="default" w:ascii="Times New Roman" w:hAnsi="Times New Roman" w:cs="Times New Roman"/>
        </w:rPr>
        <w:t>·3HF。再在夹套冷却、搅拌下分批定量投入固体碳酸钾，控制在常温、常压状态下与中间产物AlF</w:t>
      </w:r>
      <w:r>
        <w:rPr>
          <w:rFonts w:hint="default" w:ascii="Times New Roman" w:hAnsi="Times New Roman" w:cs="Times New Roman"/>
          <w:vertAlign w:val="subscript"/>
        </w:rPr>
        <w:t>3</w:t>
      </w:r>
      <w:r>
        <w:rPr>
          <w:rFonts w:hint="default" w:ascii="Times New Roman" w:hAnsi="Times New Roman" w:cs="Times New Roman"/>
        </w:rPr>
        <w:t>·3HF进行反应，反应即将结束时分析pH，待pH达7左右，停止投入固体碳酸钾。反应完成后，物料经氟铝酸钾循环泵P401打入板框压滤机X401进行压滤，压滤母液流入压滤母液槽V410，经压滤母液泵P404作为下一批次的原料套用。压滤机板框中的氟铝酸钾经水洗、压缩空气吹净后去烘箱干燥，冷却后进行包装。有水氢氟酸计量槽V408A（B）设置现场液位指示，设置溢流管线，液位超过溢流口后自动回流至202成品罐区有水氢氟酸成品罐V20201A～F。</w:t>
      </w:r>
    </w:p>
    <w:p>
      <w:pPr>
        <w:ind w:firstLine="560" w:firstLineChars="200"/>
        <w:rPr>
          <w:rFonts w:hint="default" w:ascii="Times New Roman" w:hAnsi="Times New Roman" w:eastAsia="宋体" w:cs="Times New Roman"/>
          <w:lang w:eastAsia="zh-CN"/>
        </w:rPr>
      </w:pPr>
      <w:r>
        <w:rPr>
          <w:rFonts w:hint="default" w:ascii="Times New Roman" w:hAnsi="Times New Roman" w:cs="Times New Roman"/>
        </w:rPr>
        <w:t>主要化学方程式</w:t>
      </w:r>
      <w:r>
        <w:rPr>
          <w:rFonts w:hint="default" w:ascii="Times New Roman" w:hAnsi="Times New Roman" w:cs="Times New Roman"/>
          <w:lang w:eastAsia="zh-CN"/>
        </w:rPr>
        <w:t>：</w:t>
      </w:r>
    </w:p>
    <w:p>
      <w:pPr>
        <w:jc w:val="center"/>
        <w:rPr>
          <w:rFonts w:hint="default" w:ascii="Times New Roman" w:hAnsi="Times New Roman" w:cs="Times New Roman"/>
        </w:rPr>
      </w:pPr>
      <w:r>
        <w:rPr>
          <w:rFonts w:hint="default" w:ascii="Times New Roman" w:hAnsi="Times New Roman" w:cs="Times New Roman"/>
        </w:rPr>
        <w:t>6HF+Al(OH)</w:t>
      </w:r>
      <w:r>
        <w:rPr>
          <w:rFonts w:hint="default" w:ascii="Times New Roman" w:hAnsi="Times New Roman" w:cs="Times New Roman"/>
          <w:vertAlign w:val="subscript"/>
        </w:rPr>
        <w:t>3</w:t>
      </w:r>
      <w:r>
        <w:rPr>
          <w:rFonts w:hint="default" w:ascii="Times New Roman" w:hAnsi="Times New Roman" w:cs="Times New Roman"/>
        </w:rPr>
        <w:t>=AlF</w:t>
      </w:r>
      <w:r>
        <w:rPr>
          <w:rFonts w:hint="default" w:ascii="Times New Roman" w:hAnsi="Times New Roman" w:cs="Times New Roman"/>
          <w:vertAlign w:val="subscript"/>
        </w:rPr>
        <w:t>3</w:t>
      </w:r>
      <w:r>
        <w:rPr>
          <w:rFonts w:hint="default" w:ascii="Times New Roman" w:hAnsi="Times New Roman" w:cs="Times New Roman"/>
        </w:rPr>
        <w:t>·3HF+3H</w:t>
      </w:r>
      <w:r>
        <w:rPr>
          <w:rFonts w:hint="default" w:ascii="Times New Roman" w:hAnsi="Times New Roman" w:cs="Times New Roman"/>
          <w:vertAlign w:val="subscript"/>
        </w:rPr>
        <w:t>2</w:t>
      </w:r>
      <w:r>
        <w:rPr>
          <w:rFonts w:hint="default" w:ascii="Times New Roman" w:hAnsi="Times New Roman" w:cs="Times New Roman"/>
        </w:rPr>
        <w:t>O</w:t>
      </w:r>
    </w:p>
    <w:p>
      <w:pPr>
        <w:jc w:val="center"/>
        <w:rPr>
          <w:rFonts w:hint="default" w:ascii="Times New Roman" w:hAnsi="Times New Roman" w:cs="Times New Roman"/>
        </w:rPr>
      </w:pPr>
      <w:bookmarkStart w:id="17" w:name="_Toc476587070"/>
      <w:r>
        <w:rPr>
          <w:rFonts w:hint="default" w:ascii="Times New Roman" w:hAnsi="Times New Roman" w:cs="Times New Roman"/>
        </w:rPr>
        <w:t>2AlF</w:t>
      </w:r>
      <w:r>
        <w:rPr>
          <w:rFonts w:hint="default" w:ascii="Times New Roman" w:hAnsi="Times New Roman" w:cs="Times New Roman"/>
          <w:vertAlign w:val="subscript"/>
        </w:rPr>
        <w:t>3</w:t>
      </w:r>
      <w:r>
        <w:rPr>
          <w:rFonts w:hint="default" w:ascii="Times New Roman" w:hAnsi="Times New Roman" w:cs="Times New Roman"/>
        </w:rPr>
        <w:t>·3HF+3K</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=2K</w:t>
      </w:r>
      <w:r>
        <w:rPr>
          <w:rFonts w:hint="default" w:ascii="Times New Roman" w:hAnsi="Times New Roman" w:cs="Times New Roman"/>
          <w:vertAlign w:val="subscript"/>
        </w:rPr>
        <w:t>3</w:t>
      </w:r>
      <w:r>
        <w:rPr>
          <w:rFonts w:hint="default" w:ascii="Times New Roman" w:hAnsi="Times New Roman" w:cs="Times New Roman"/>
        </w:rPr>
        <w:t>AlF</w:t>
      </w:r>
      <w:r>
        <w:rPr>
          <w:rFonts w:hint="default" w:ascii="Times New Roman" w:hAnsi="Times New Roman" w:cs="Times New Roman"/>
          <w:vertAlign w:val="subscript"/>
        </w:rPr>
        <w:t>6</w:t>
      </w:r>
      <w:r>
        <w:rPr>
          <w:rFonts w:hint="default" w:ascii="Times New Roman" w:hAnsi="Times New Roman" w:cs="Times New Roman"/>
        </w:rPr>
        <w:t>+3H</w:t>
      </w:r>
      <w:r>
        <w:rPr>
          <w:rFonts w:hint="default" w:ascii="Times New Roman" w:hAnsi="Times New Roman" w:cs="Times New Roman"/>
          <w:vertAlign w:val="subscript"/>
        </w:rPr>
        <w:t>2</w:t>
      </w:r>
      <w:r>
        <w:rPr>
          <w:rFonts w:hint="default" w:ascii="Times New Roman" w:hAnsi="Times New Roman" w:cs="Times New Roman"/>
        </w:rPr>
        <w:t>O+3CO</w:t>
      </w:r>
      <w:r>
        <w:rPr>
          <w:rFonts w:hint="default" w:ascii="Times New Roman" w:hAnsi="Times New Roman" w:cs="Times New Roman"/>
          <w:vertAlign w:val="subscript"/>
        </w:rPr>
        <w:t>2</w:t>
      </w:r>
    </w:p>
    <w:p>
      <w:pPr>
        <w:ind w:firstLine="56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rPr>
        <w:t>氟铝酸钠生产工艺</w:t>
      </w:r>
      <w:bookmarkEnd w:id="17"/>
    </w:p>
    <w:p>
      <w:pPr>
        <w:ind w:firstLine="560" w:firstLineChars="200"/>
        <w:rPr>
          <w:rFonts w:hint="default" w:ascii="Times New Roman" w:hAnsi="Times New Roman" w:cs="Times New Roman"/>
        </w:rPr>
      </w:pPr>
      <w:r>
        <w:rPr>
          <w:rFonts w:hint="default" w:ascii="Times New Roman" w:hAnsi="Times New Roman" w:cs="Times New Roman"/>
        </w:rPr>
        <w:t>来自原料罐区有水氢氟酸泵入有水氢氟酸计量槽V408A（B），经计量约2000Kg有水氢氟酸加入氟铝酸钠反应釜R406。在夹套冷却、搅拌下分批定量投入固体氢氧化铝，控制在60℃、常压状态下进行反应，得中间产物AlF</w:t>
      </w:r>
      <w:r>
        <w:rPr>
          <w:rFonts w:hint="default" w:ascii="Times New Roman" w:hAnsi="Times New Roman" w:cs="Times New Roman"/>
          <w:vertAlign w:val="subscript"/>
        </w:rPr>
        <w:t>3</w:t>
      </w:r>
      <w:r>
        <w:rPr>
          <w:rFonts w:hint="default" w:ascii="Times New Roman" w:hAnsi="Times New Roman" w:cs="Times New Roman"/>
        </w:rPr>
        <w:t>·3HF。再在夹套冷却、搅拌下分批定量投入固体碳酸钠，控制在常温、常压状态下与中间产物AlF</w:t>
      </w:r>
      <w:r>
        <w:rPr>
          <w:rFonts w:hint="default" w:ascii="Times New Roman" w:hAnsi="Times New Roman" w:cs="Times New Roman"/>
          <w:vertAlign w:val="subscript"/>
        </w:rPr>
        <w:t>3</w:t>
      </w:r>
      <w:r>
        <w:rPr>
          <w:rFonts w:hint="default" w:ascii="Times New Roman" w:hAnsi="Times New Roman" w:cs="Times New Roman"/>
        </w:rPr>
        <w:t>·3HF进行反应，反应即将结束时分析pH，待pH达7左右，停止投入固体碳酸钠。反应完成后，物料经氟铝酸钠循环泵P402打入板框压滤机X402进行压滤，压滤母液流入压滤母液槽V410，经压滤母液泵P404作为下一批次的原料套用。压滤机板框中的氟铝酸钠经水洗、压缩空气吹净后去烘箱干燥，冷却后进行包装。有水氢氟酸计量槽V408A（B）设置现场液位指示，设置溢流管线，液位超过溢流口后自动回流至202成品罐区有水氢氟酸成品罐V20201A～F。</w:t>
      </w:r>
    </w:p>
    <w:p>
      <w:pPr>
        <w:ind w:firstLine="560" w:firstLineChars="200"/>
        <w:rPr>
          <w:rFonts w:hint="default" w:ascii="Times New Roman" w:hAnsi="Times New Roman" w:eastAsia="宋体" w:cs="Times New Roman"/>
          <w:lang w:eastAsia="zh-CN"/>
        </w:rPr>
      </w:pPr>
      <w:r>
        <w:rPr>
          <w:rFonts w:hint="default" w:ascii="Times New Roman" w:hAnsi="Times New Roman" w:cs="Times New Roman"/>
        </w:rPr>
        <w:t>主要化学方程式</w:t>
      </w:r>
      <w:r>
        <w:rPr>
          <w:rFonts w:hint="default" w:ascii="Times New Roman" w:hAnsi="Times New Roman" w:cs="Times New Roman"/>
          <w:lang w:eastAsia="zh-CN"/>
        </w:rPr>
        <w:t>：</w:t>
      </w:r>
    </w:p>
    <w:p>
      <w:pPr>
        <w:jc w:val="center"/>
        <w:rPr>
          <w:rFonts w:hint="default" w:ascii="Times New Roman" w:hAnsi="Times New Roman" w:cs="Times New Roman"/>
        </w:rPr>
      </w:pPr>
      <w:r>
        <w:rPr>
          <w:rFonts w:hint="default" w:ascii="Times New Roman" w:hAnsi="Times New Roman" w:cs="Times New Roman"/>
        </w:rPr>
        <w:t>6HF+Al(OH)</w:t>
      </w:r>
      <w:r>
        <w:rPr>
          <w:rFonts w:hint="default" w:ascii="Times New Roman" w:hAnsi="Times New Roman" w:cs="Times New Roman"/>
          <w:vertAlign w:val="subscript"/>
        </w:rPr>
        <w:t>3</w:t>
      </w:r>
      <w:r>
        <w:rPr>
          <w:rFonts w:hint="default" w:ascii="Times New Roman" w:hAnsi="Times New Roman" w:cs="Times New Roman"/>
        </w:rPr>
        <w:t>=AlF</w:t>
      </w:r>
      <w:r>
        <w:rPr>
          <w:rFonts w:hint="default" w:ascii="Times New Roman" w:hAnsi="Times New Roman" w:cs="Times New Roman"/>
          <w:vertAlign w:val="subscript"/>
        </w:rPr>
        <w:t>3</w:t>
      </w:r>
      <w:r>
        <w:rPr>
          <w:rFonts w:hint="default" w:ascii="Times New Roman" w:hAnsi="Times New Roman" w:cs="Times New Roman"/>
        </w:rPr>
        <w:t>·3HF+3H</w:t>
      </w:r>
      <w:r>
        <w:rPr>
          <w:rFonts w:hint="default" w:ascii="Times New Roman" w:hAnsi="Times New Roman" w:cs="Times New Roman"/>
          <w:vertAlign w:val="subscript"/>
        </w:rPr>
        <w:t>2</w:t>
      </w:r>
      <w:r>
        <w:rPr>
          <w:rFonts w:hint="default" w:ascii="Times New Roman" w:hAnsi="Times New Roman" w:cs="Times New Roman"/>
        </w:rPr>
        <w:t xml:space="preserve">O </w:t>
      </w:r>
    </w:p>
    <w:p>
      <w:pPr>
        <w:ind w:firstLine="560" w:firstLineChars="200"/>
        <w:jc w:val="center"/>
        <w:rPr>
          <w:rFonts w:hint="default" w:ascii="Times New Roman" w:hAnsi="Times New Roman" w:cs="Times New Roman"/>
        </w:rPr>
      </w:pPr>
      <w:r>
        <w:rPr>
          <w:rFonts w:hint="default" w:ascii="Times New Roman" w:hAnsi="Times New Roman" w:cs="Times New Roman"/>
        </w:rPr>
        <w:t>2AlF</w:t>
      </w:r>
      <w:r>
        <w:rPr>
          <w:rFonts w:hint="default" w:ascii="Times New Roman" w:hAnsi="Times New Roman" w:cs="Times New Roman"/>
          <w:vertAlign w:val="subscript"/>
        </w:rPr>
        <w:t>3</w:t>
      </w:r>
      <w:r>
        <w:rPr>
          <w:rFonts w:hint="default" w:ascii="Times New Roman" w:hAnsi="Times New Roman" w:cs="Times New Roman"/>
        </w:rPr>
        <w:t>·3HF+3Na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=2Na</w:t>
      </w:r>
      <w:r>
        <w:rPr>
          <w:rFonts w:hint="default" w:ascii="Times New Roman" w:hAnsi="Times New Roman" w:cs="Times New Roman"/>
          <w:vertAlign w:val="subscript"/>
        </w:rPr>
        <w:t>3</w:t>
      </w:r>
      <w:r>
        <w:rPr>
          <w:rFonts w:hint="default" w:ascii="Times New Roman" w:hAnsi="Times New Roman" w:cs="Times New Roman"/>
        </w:rPr>
        <w:t>AlF</w:t>
      </w:r>
      <w:r>
        <w:rPr>
          <w:rFonts w:hint="default" w:ascii="Times New Roman" w:hAnsi="Times New Roman" w:cs="Times New Roman"/>
          <w:vertAlign w:val="subscript"/>
        </w:rPr>
        <w:t>6</w:t>
      </w:r>
      <w:r>
        <w:rPr>
          <w:rFonts w:hint="default" w:ascii="Times New Roman" w:hAnsi="Times New Roman" w:cs="Times New Roman"/>
        </w:rPr>
        <w:t>+3H</w:t>
      </w:r>
      <w:r>
        <w:rPr>
          <w:rFonts w:hint="default" w:ascii="Times New Roman" w:hAnsi="Times New Roman" w:cs="Times New Roman"/>
          <w:vertAlign w:val="subscript"/>
        </w:rPr>
        <w:t>2</w:t>
      </w:r>
      <w:r>
        <w:rPr>
          <w:rFonts w:hint="default" w:ascii="Times New Roman" w:hAnsi="Times New Roman" w:cs="Times New Roman"/>
        </w:rPr>
        <w:t>O+3CO</w:t>
      </w:r>
      <w:r>
        <w:rPr>
          <w:rFonts w:hint="default" w:ascii="Times New Roman" w:hAnsi="Times New Roman" w:cs="Times New Roman"/>
          <w:vertAlign w:val="subscript"/>
        </w:rPr>
        <w:t>2</w:t>
      </w:r>
    </w:p>
    <w:p>
      <w:pPr>
        <w:ind w:firstLine="560" w:firstLineChars="200"/>
        <w:rPr>
          <w:rFonts w:hint="default" w:ascii="Times New Roman" w:hAnsi="Times New Roman" w:eastAsia="宋体" w:cs="Times New Roman"/>
          <w:lang w:val="en-US" w:eastAsia="zh-CN"/>
        </w:rPr>
      </w:pPr>
      <w:r>
        <w:rPr>
          <w:rFonts w:hint="default" w:ascii="Times New Roman" w:hAnsi="Times New Roman" w:cs="Times New Roman"/>
          <w:lang w:val="en-US" w:eastAsia="zh-CN"/>
        </w:rPr>
        <w:t>5、氟化系</w:t>
      </w:r>
    </w:p>
    <w:p>
      <w:pPr>
        <w:ind w:firstLine="560" w:firstLineChars="200"/>
        <w:rPr>
          <w:rFonts w:hint="default" w:ascii="Times New Roman" w:hAnsi="Times New Roman" w:cs="Times New Roman"/>
        </w:rPr>
      </w:pPr>
      <w:r>
        <w:rPr>
          <w:rFonts w:hint="default" w:ascii="Times New Roman" w:hAnsi="Times New Roman" w:cs="Times New Roman"/>
        </w:rPr>
        <w:t>（1）氟化钡</w:t>
      </w:r>
    </w:p>
    <w:p>
      <w:pPr>
        <w:ind w:firstLine="560" w:firstLineChars="200"/>
        <w:rPr>
          <w:rFonts w:hint="default" w:ascii="Times New Roman" w:hAnsi="Times New Roman" w:cs="Times New Roman"/>
        </w:rPr>
      </w:pPr>
      <w:r>
        <w:rPr>
          <w:rFonts w:hint="default" w:ascii="Times New Roman" w:hAnsi="Times New Roman" w:cs="Times New Roman"/>
        </w:rPr>
        <w:t>由有水氢氟酸中间槽来的有水氢氟酸约2000Kg自流入有水氢氟酸高位槽，经计量进入氟化钡反应釜，在搅拌下分批加入碳酸钡，在常温、常压状态下进行反应。当反应气泡渐少时减少碳酸钡的投料速率，分析pH，待pH达7左右，停止加入碳酸钡。反应完成后，物料进入离心机进行离心，离心后物料氟化钡去干燥、包装。离心母液进入离心母液槽，经母液输送泵返回氟化钡反应釜。有水氢氟酸中间槽和有水氢氟酸高位槽设置现场液位指示，设置溢流管线，液位超过溢流口后自动回流至101生产车间一有水氢氟酸中间罐。</w:t>
      </w:r>
    </w:p>
    <w:p>
      <w:pPr>
        <w:ind w:firstLine="560" w:firstLineChars="200"/>
        <w:rPr>
          <w:rFonts w:hint="default" w:ascii="Times New Roman" w:hAnsi="Times New Roman" w:eastAsia="宋体" w:cs="Times New Roman"/>
          <w:lang w:eastAsia="zh-CN"/>
        </w:rPr>
      </w:pPr>
      <w:r>
        <w:rPr>
          <w:rFonts w:hint="default" w:ascii="Times New Roman" w:hAnsi="Times New Roman" w:cs="Times New Roman"/>
        </w:rPr>
        <w:t>主要化学方程式</w:t>
      </w:r>
      <w:r>
        <w:rPr>
          <w:rFonts w:hint="default" w:ascii="Times New Roman" w:hAnsi="Times New Roman" w:cs="Times New Roman"/>
          <w:lang w:eastAsia="zh-CN"/>
        </w:rPr>
        <w:t>：</w:t>
      </w:r>
    </w:p>
    <w:p>
      <w:pPr>
        <w:jc w:val="center"/>
        <w:rPr>
          <w:rFonts w:hint="default" w:ascii="Times New Roman" w:hAnsi="Times New Roman" w:cs="Times New Roman"/>
        </w:rPr>
      </w:pPr>
      <w:r>
        <w:rPr>
          <w:rFonts w:hint="default" w:ascii="Times New Roman" w:hAnsi="Times New Roman" w:cs="Times New Roman"/>
        </w:rPr>
        <w:t>2HF+BaCO</w:t>
      </w:r>
      <w:r>
        <w:rPr>
          <w:rFonts w:hint="default" w:ascii="Times New Roman" w:hAnsi="Times New Roman" w:cs="Times New Roman"/>
          <w:vertAlign w:val="subscript"/>
        </w:rPr>
        <w:t>3</w:t>
      </w:r>
      <w:r>
        <w:rPr>
          <w:rFonts w:hint="default" w:ascii="Times New Roman" w:hAnsi="Times New Roman" w:cs="Times New Roman"/>
        </w:rPr>
        <w:t>=BaF</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O+CO</w:t>
      </w:r>
      <w:r>
        <w:rPr>
          <w:rFonts w:hint="default" w:ascii="Times New Roman" w:hAnsi="Times New Roman" w:cs="Times New Roman"/>
          <w:vertAlign w:val="subscript"/>
        </w:rPr>
        <w:t>2</w:t>
      </w:r>
    </w:p>
    <w:p>
      <w:pPr>
        <w:ind w:firstLine="56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）氟化钠</w:t>
      </w:r>
    </w:p>
    <w:p>
      <w:pPr>
        <w:ind w:firstLine="560" w:firstLineChars="200"/>
        <w:rPr>
          <w:rFonts w:hint="default" w:ascii="Times New Roman" w:hAnsi="Times New Roman" w:cs="Times New Roman"/>
        </w:rPr>
      </w:pPr>
      <w:r>
        <w:rPr>
          <w:rFonts w:hint="default" w:ascii="Times New Roman" w:hAnsi="Times New Roman" w:cs="Times New Roman"/>
        </w:rPr>
        <w:t>来自有水氢氟酸中间槽V205中的有水氢氟酸（20%）泵入有水氢氟酸计量槽V408A（B），经计量约2000Kg有水氢氟酸加入氟化钠反应釜R401AB。在碳酸钠配置釜R402AB中投入自来水（或回收离心母液），投入碳酸钠配置成碳酸钠饱和溶液，经液下泵打入碳酸钠中间釜R407，再经碳酸钠循环泵P403AB打入氟化钠反应釜R401AB，在搅拌下控制碳酸钠加入量，在在60～65℃、常压状态下进行反应。当反应气泡渐少时开启泵出口循环付线，减少碳酸钾的投料速率，分析pH，待pH达7左右，关闭反应釜碳酸钠进料阀门，停止加入碳酸钠。反应完成后，物料进入抽滤器V401进行真空抽滤，滤液经真空缓冲罐进入离心母液槽V405A，滤饼经离心机M401进行离心，离心后物料去干燥、包装。离心母液进入离心母液槽V405A，与抽滤器滤液合并，经母液输送泵P405返回碳酸钠配置釜R402AB去配置饱和碳酸钠溶液。</w:t>
      </w:r>
    </w:p>
    <w:p>
      <w:pPr>
        <w:ind w:firstLine="560" w:firstLineChars="200"/>
        <w:rPr>
          <w:rFonts w:hint="default" w:ascii="Times New Roman" w:hAnsi="Times New Roman" w:eastAsia="宋体" w:cs="Times New Roman"/>
          <w:lang w:eastAsia="zh-CN"/>
        </w:rPr>
      </w:pPr>
      <w:r>
        <w:rPr>
          <w:rFonts w:hint="default" w:ascii="Times New Roman" w:hAnsi="Times New Roman" w:cs="Times New Roman"/>
        </w:rPr>
        <w:t>主要化学方程式</w:t>
      </w:r>
      <w:r>
        <w:rPr>
          <w:rFonts w:hint="default" w:ascii="Times New Roman" w:hAnsi="Times New Roman" w:cs="Times New Roman"/>
          <w:lang w:eastAsia="zh-CN"/>
        </w:rPr>
        <w:t>：</w:t>
      </w:r>
    </w:p>
    <w:p>
      <w:pPr>
        <w:jc w:val="center"/>
        <w:rPr>
          <w:rFonts w:hint="default" w:ascii="Times New Roman" w:hAnsi="Times New Roman" w:cs="Times New Roman"/>
          <w:vertAlign w:val="subscript"/>
        </w:rPr>
      </w:pPr>
      <w:r>
        <w:rPr>
          <w:rFonts w:hint="default" w:ascii="Times New Roman" w:hAnsi="Times New Roman" w:cs="Times New Roman"/>
        </w:rPr>
        <w:t>2HF+Na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 xml:space="preserve"> =2NaF+H</w:t>
      </w:r>
      <w:r>
        <w:rPr>
          <w:rFonts w:hint="default" w:ascii="Times New Roman" w:hAnsi="Times New Roman" w:cs="Times New Roman"/>
          <w:vertAlign w:val="subscript"/>
        </w:rPr>
        <w:t>2</w:t>
      </w:r>
      <w:r>
        <w:rPr>
          <w:rFonts w:hint="default" w:ascii="Times New Roman" w:hAnsi="Times New Roman" w:cs="Times New Roman"/>
        </w:rPr>
        <w:t>O+CO</w:t>
      </w:r>
      <w:r>
        <w:rPr>
          <w:rFonts w:hint="default" w:ascii="Times New Roman" w:hAnsi="Times New Roman" w:cs="Times New Roman"/>
          <w:vertAlign w:val="subscript"/>
        </w:rPr>
        <w:t>2</w:t>
      </w:r>
    </w:p>
    <w:p>
      <w:pPr>
        <w:ind w:firstLine="56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）氟化氢钠</w:t>
      </w:r>
    </w:p>
    <w:p>
      <w:pPr>
        <w:ind w:firstLine="560" w:firstLineChars="200"/>
        <w:rPr>
          <w:rFonts w:hint="default" w:ascii="Times New Roman" w:hAnsi="Times New Roman" w:cs="Times New Roman"/>
        </w:rPr>
      </w:pPr>
      <w:r>
        <w:rPr>
          <w:rFonts w:hint="default" w:ascii="Times New Roman" w:hAnsi="Times New Roman" w:cs="Times New Roman"/>
        </w:rPr>
        <w:t>来自有水氢氟酸中间槽V205中的有水氢氟酸（20%）泵入有水氢氟酸计量槽V408A（B），经计量约2000Kg有水氢氟酸加入氟化氢钠反应釜R403A～D。在碳酸钠配置釜R402AB中投入自来水（或回收离心母液），投入碳酸钠配置成碳酸钠饱和溶液，经液下泵打入碳酸钠中间釜R407，再经碳酸钠循环泵P403AB打入碳酸钠计量槽V409，再流入氟化氢钠反应釜R403A～D，在搅拌下控制碳酸钠加入量，在60～65℃，常压状态下进行反应。当反应气泡渐少时关小反应釜碳酸钠进料阀门，减少碳酸钾的投料速率，分析pH，待pH达7左右，关闭反应釜碳酸钠进料阀门，停止加入碳酸钾。反应完成后，物料放入氟化氢钠冷却釜R404A～E，夹套通入循环冷却水进行冷却降温。然后物料进入抽滤器V403进行真空抽滤，滤液经真空缓冲罐进入离心母液槽V405B～D，滤饼经离心机M403进行离心，离心后物料去干燥、包装。离心母液进入离心母液槽V405B～D，与抽滤器滤液合并，经母液输送泵P406返回碳酸钠配置釜R402AB去配置饱和碳酸钠溶液。</w:t>
      </w:r>
    </w:p>
    <w:p>
      <w:pPr>
        <w:ind w:firstLine="560" w:firstLineChars="200"/>
        <w:rPr>
          <w:rFonts w:hint="default" w:ascii="Times New Roman" w:hAnsi="Times New Roman" w:cs="Times New Roman"/>
        </w:rPr>
      </w:pPr>
      <w:r>
        <w:rPr>
          <w:rFonts w:hint="default" w:ascii="Times New Roman" w:hAnsi="Times New Roman" w:cs="Times New Roman"/>
        </w:rPr>
        <w:t>反应为放热反应，通过氟化氢钠反应釜R403A～D夹套循环冷却水控制在60～65℃下进行反应。碳酸钠配置釜R402AB和碳酸钠中间釜R407夹套配置了低压蒸汽管线，在冬天为防止碳酸钠间距堵塞管道需要通入蒸汽控制碳酸钠溶液温度在25～30℃左右。有水氢氟酸计量槽V408A（B）设置现场液位指示，设置溢流管线，液位超过溢流口后自动回流至202成品罐区有水氢氟酸成品罐V20201A～F。</w:t>
      </w:r>
    </w:p>
    <w:p>
      <w:pPr>
        <w:ind w:firstLine="560" w:firstLineChars="200"/>
        <w:rPr>
          <w:rFonts w:hint="default" w:ascii="Times New Roman" w:hAnsi="Times New Roman" w:eastAsia="宋体" w:cs="Times New Roman"/>
          <w:lang w:eastAsia="zh-CN"/>
        </w:rPr>
      </w:pPr>
      <w:r>
        <w:rPr>
          <w:rFonts w:hint="default" w:ascii="Times New Roman" w:hAnsi="Times New Roman" w:cs="Times New Roman"/>
        </w:rPr>
        <w:t>主要化学方程式</w:t>
      </w:r>
      <w:r>
        <w:rPr>
          <w:rFonts w:hint="default" w:ascii="Times New Roman" w:hAnsi="Times New Roman" w:cs="Times New Roman"/>
          <w:lang w:eastAsia="zh-CN"/>
        </w:rPr>
        <w:t>：</w:t>
      </w:r>
    </w:p>
    <w:p>
      <w:pPr>
        <w:jc w:val="center"/>
        <w:rPr>
          <w:rFonts w:hint="default" w:ascii="Times New Roman" w:hAnsi="Times New Roman" w:cs="Times New Roman"/>
          <w:vertAlign w:val="subscript"/>
        </w:rPr>
      </w:pPr>
      <w:r>
        <w:rPr>
          <w:rFonts w:hint="default" w:ascii="Times New Roman" w:hAnsi="Times New Roman" w:cs="Times New Roman"/>
        </w:rPr>
        <w:t>4HF+Na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 xml:space="preserve"> =2NaHF</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O+CO</w:t>
      </w:r>
      <w:r>
        <w:rPr>
          <w:rFonts w:hint="default" w:ascii="Times New Roman" w:hAnsi="Times New Roman" w:cs="Times New Roman"/>
          <w:vertAlign w:val="subscript"/>
        </w:rPr>
        <w:t>2</w:t>
      </w:r>
    </w:p>
    <w:p>
      <w:pPr>
        <w:ind w:firstLine="56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）氟化锌</w:t>
      </w:r>
    </w:p>
    <w:p>
      <w:pPr>
        <w:ind w:firstLine="560" w:firstLineChars="200"/>
        <w:rPr>
          <w:rFonts w:hint="default" w:ascii="Times New Roman" w:hAnsi="Times New Roman" w:cs="Times New Roman"/>
        </w:rPr>
      </w:pPr>
      <w:r>
        <w:rPr>
          <w:rFonts w:hint="default" w:ascii="Times New Roman" w:hAnsi="Times New Roman" w:cs="Times New Roman"/>
        </w:rPr>
        <w:t>来自有水氢氟酸中间槽V205有水氢氟酸（20%）约2000Kg经计量投入氟化锌反应釜R102AB，在夹套冷却和搅拌下分批加入碳酸锌，在常温、常压状态下进行反应。当反应气泡渐少时减少碳酸锌的投料速率，分析pH，待pH达7左右，停止加入碳酸锌。反应完成后，物料进入离心机M101进行离心，离心后物料氟化锌去干燥、包装。离心母液进入离心母液槽V102ABC，经母液输送泵P103返回氟化锌反应釜R102AB。有水氢氟酸中间槽V205设置现场液位指示，设置溢流管线，液位超过溢流口后自动回流至101生产车间一有水氢氟酸中间罐V101A～D。</w:t>
      </w:r>
    </w:p>
    <w:p>
      <w:pPr>
        <w:ind w:firstLine="560" w:firstLineChars="200"/>
        <w:rPr>
          <w:rFonts w:hint="default" w:ascii="Times New Roman" w:hAnsi="Times New Roman" w:eastAsia="宋体" w:cs="Times New Roman"/>
          <w:lang w:eastAsia="zh-CN"/>
        </w:rPr>
      </w:pPr>
      <w:r>
        <w:rPr>
          <w:rFonts w:hint="default" w:ascii="Times New Roman" w:hAnsi="Times New Roman" w:cs="Times New Roman"/>
        </w:rPr>
        <w:t>主要化学方程式</w:t>
      </w:r>
      <w:r>
        <w:rPr>
          <w:rFonts w:hint="default" w:ascii="Times New Roman" w:hAnsi="Times New Roman" w:cs="Times New Roman"/>
          <w:lang w:eastAsia="zh-CN"/>
        </w:rPr>
        <w:t>：</w:t>
      </w:r>
    </w:p>
    <w:p>
      <w:pPr>
        <w:jc w:val="center"/>
        <w:rPr>
          <w:rFonts w:hint="default" w:ascii="Times New Roman" w:hAnsi="Times New Roman" w:cs="Times New Roman"/>
        </w:rPr>
      </w:pPr>
      <w:r>
        <w:rPr>
          <w:rFonts w:hint="default" w:ascii="Times New Roman" w:hAnsi="Times New Roman" w:cs="Times New Roman"/>
        </w:rPr>
        <w:t>2HF+ZnCO</w:t>
      </w:r>
      <w:r>
        <w:rPr>
          <w:rFonts w:hint="default" w:ascii="Times New Roman" w:hAnsi="Times New Roman" w:cs="Times New Roman"/>
          <w:vertAlign w:val="subscript"/>
        </w:rPr>
        <w:t>3</w:t>
      </w:r>
      <w:r>
        <w:rPr>
          <w:rFonts w:hint="default" w:ascii="Times New Roman" w:hAnsi="Times New Roman" w:cs="Times New Roman"/>
        </w:rPr>
        <w:t>=ZnF</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O+CO</w:t>
      </w:r>
      <w:r>
        <w:rPr>
          <w:rFonts w:hint="default" w:ascii="Times New Roman" w:hAnsi="Times New Roman" w:cs="Times New Roman"/>
          <w:vertAlign w:val="subscript"/>
        </w:rPr>
        <w:t>2</w:t>
      </w:r>
    </w:p>
    <w:p>
      <w:pPr>
        <w:ind w:firstLine="56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5</w:t>
      </w:r>
      <w:r>
        <w:rPr>
          <w:rFonts w:hint="default" w:ascii="Times New Roman" w:hAnsi="Times New Roman" w:cs="Times New Roman"/>
        </w:rPr>
        <w:t>）氟化锶</w:t>
      </w:r>
    </w:p>
    <w:p>
      <w:pPr>
        <w:ind w:firstLine="560" w:firstLineChars="200"/>
        <w:rPr>
          <w:rFonts w:hint="default" w:ascii="Times New Roman" w:hAnsi="Times New Roman" w:cs="Times New Roman"/>
        </w:rPr>
      </w:pPr>
      <w:r>
        <w:rPr>
          <w:rFonts w:hint="default" w:ascii="Times New Roman" w:hAnsi="Times New Roman" w:cs="Times New Roman"/>
        </w:rPr>
        <w:t>由有水氢氟酸中间槽V205来的有水氢氟酸（20%）约2000Kg自流入有水氢氟酸高位槽V208A（B），经计量进入氟化锶反应釜R207，在搅拌下分批加入碳酸锶，在常温、常压状态下进行反应。当反应气泡渐少时减少碳酸钡的投料速率，分析pH，待pH达7左右，停止加入碳酸锶。反应完成后，物料进入离心机M203进行离心，离心后物料氟化锶去干燥、包装。离心母液进入离心母液槽V210，经母液输送泵P202返回氟化锶反应釜R207。有水氢氟酸中间槽V205和有水氢氟酸高位槽V208A（B）设置现场液位指示，设置溢流管线，液位超过溢流口后自动回流至101生产车间一有水氢氟酸中间罐V101A～D。</w:t>
      </w:r>
    </w:p>
    <w:p>
      <w:pPr>
        <w:ind w:firstLine="560" w:firstLineChars="200"/>
        <w:rPr>
          <w:rFonts w:hint="default" w:ascii="Times New Roman" w:hAnsi="Times New Roman" w:eastAsia="宋体" w:cs="Times New Roman"/>
          <w:lang w:eastAsia="zh-CN"/>
        </w:rPr>
      </w:pPr>
      <w:r>
        <w:rPr>
          <w:rFonts w:hint="default" w:ascii="Times New Roman" w:hAnsi="Times New Roman" w:cs="Times New Roman"/>
        </w:rPr>
        <w:t>主要化学方程式</w:t>
      </w:r>
      <w:r>
        <w:rPr>
          <w:rFonts w:hint="default" w:ascii="Times New Roman" w:hAnsi="Times New Roman" w:cs="Times New Roman"/>
          <w:lang w:eastAsia="zh-CN"/>
        </w:rPr>
        <w:t>：</w:t>
      </w:r>
    </w:p>
    <w:p>
      <w:pPr>
        <w:jc w:val="center"/>
        <w:rPr>
          <w:rFonts w:hint="default" w:ascii="Times New Roman" w:hAnsi="Times New Roman" w:cs="Times New Roman"/>
        </w:rPr>
      </w:pPr>
      <w:r>
        <w:rPr>
          <w:rFonts w:hint="default" w:ascii="Times New Roman" w:hAnsi="Times New Roman" w:cs="Times New Roman"/>
        </w:rPr>
        <w:t>2HF+SrCO</w:t>
      </w:r>
      <w:r>
        <w:rPr>
          <w:rFonts w:hint="default" w:ascii="Times New Roman" w:hAnsi="Times New Roman" w:cs="Times New Roman"/>
          <w:vertAlign w:val="subscript"/>
        </w:rPr>
        <w:t>3</w:t>
      </w:r>
      <w:r>
        <w:rPr>
          <w:rFonts w:hint="default" w:ascii="Times New Roman" w:hAnsi="Times New Roman" w:cs="Times New Roman"/>
        </w:rPr>
        <w:t xml:space="preserve"> =SrF</w:t>
      </w:r>
      <w:r>
        <w:rPr>
          <w:rFonts w:hint="default" w:ascii="Times New Roman" w:hAnsi="Times New Roman" w:cs="Times New Roman"/>
          <w:vertAlign w:val="subscript"/>
        </w:rPr>
        <w:t>2</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O+CO</w:t>
      </w:r>
      <w:r>
        <w:rPr>
          <w:rFonts w:hint="default" w:ascii="Times New Roman" w:hAnsi="Times New Roman" w:cs="Times New Roman"/>
          <w:vertAlign w:val="subscript"/>
        </w:rPr>
        <w:t>2</w:t>
      </w:r>
    </w:p>
    <w:p>
      <w:pPr>
        <w:ind w:firstLine="56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）氟化锂生产工艺</w:t>
      </w:r>
    </w:p>
    <w:p>
      <w:pPr>
        <w:ind w:firstLine="560" w:firstLineChars="200"/>
        <w:rPr>
          <w:rFonts w:hint="default" w:ascii="Times New Roman" w:hAnsi="Times New Roman" w:cs="Times New Roman"/>
        </w:rPr>
      </w:pPr>
      <w:r>
        <w:rPr>
          <w:rFonts w:hint="default" w:ascii="Times New Roman" w:hAnsi="Times New Roman" w:cs="Times New Roman"/>
        </w:rPr>
        <w:t>由有水氢氟酸中间槽V205来的有水氢氟酸（20%）约2000Kg自流入有水氢氟酸高位槽V208A（B），经计量进入氟化锂反应釜R206，在搅拌下分批加入碳酸锂，在常温、常压状态下进行反应。当反应气泡渐少时减少碳酸锂的投料速率，分析pH，待pH达7左右，停止加入碳酸锂。反应完成后，物料进入离心机M203进行离心，离心后物料氟化锂去干燥、包装。离心母液进入离心母液槽V210，经母液输送泵P202返回氟化锂反应釜R206。有水氢氟酸中间槽V205和有水氢氟酸高位槽V208A（B）设置现场液位指示，设置溢流管线，液位超过溢流口后自动回流至101生产车间一有水氢氟酸中间罐V101A～D。</w:t>
      </w:r>
    </w:p>
    <w:p>
      <w:pPr>
        <w:ind w:firstLine="560" w:firstLineChars="200"/>
        <w:rPr>
          <w:rFonts w:hint="default" w:ascii="Times New Roman" w:hAnsi="Times New Roman" w:eastAsia="宋体" w:cs="Times New Roman"/>
          <w:lang w:eastAsia="zh-CN"/>
        </w:rPr>
      </w:pPr>
      <w:r>
        <w:rPr>
          <w:rFonts w:hint="default" w:ascii="Times New Roman" w:hAnsi="Times New Roman" w:cs="Times New Roman"/>
        </w:rPr>
        <w:t>主要化学方程式</w:t>
      </w:r>
      <w:r>
        <w:rPr>
          <w:rFonts w:hint="default" w:ascii="Times New Roman" w:hAnsi="Times New Roman" w:cs="Times New Roman"/>
          <w:lang w:eastAsia="zh-CN"/>
        </w:rPr>
        <w:t>：</w:t>
      </w:r>
    </w:p>
    <w:p>
      <w:pPr>
        <w:jc w:val="center"/>
        <w:rPr>
          <w:rFonts w:hint="default" w:ascii="Times New Roman" w:hAnsi="Times New Roman" w:cs="Times New Roman"/>
        </w:rPr>
      </w:pPr>
      <w:r>
        <w:rPr>
          <w:rFonts w:hint="default" w:ascii="Times New Roman" w:hAnsi="Times New Roman" w:cs="Times New Roman"/>
        </w:rPr>
        <w:t>2HF+Li</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=2LiF+H</w:t>
      </w:r>
      <w:r>
        <w:rPr>
          <w:rFonts w:hint="default" w:ascii="Times New Roman" w:hAnsi="Times New Roman" w:cs="Times New Roman"/>
          <w:vertAlign w:val="subscript"/>
        </w:rPr>
        <w:t>2</w:t>
      </w:r>
      <w:r>
        <w:rPr>
          <w:rFonts w:hint="default" w:ascii="Times New Roman" w:hAnsi="Times New Roman" w:cs="Times New Roman"/>
        </w:rPr>
        <w:t>O+CO</w:t>
      </w:r>
      <w:r>
        <w:rPr>
          <w:rFonts w:hint="default" w:ascii="Times New Roman" w:hAnsi="Times New Roman" w:cs="Times New Roman"/>
          <w:vertAlign w:val="subscript"/>
        </w:rPr>
        <w:t>2</w:t>
      </w:r>
    </w:p>
    <w:p>
      <w:pPr>
        <w:ind w:firstLine="560" w:firstLineChars="200"/>
        <w:rPr>
          <w:rFonts w:hint="default" w:ascii="Times New Roman" w:hAnsi="Times New Roman" w:eastAsia="宋体" w:cs="Times New Roman"/>
          <w:lang w:val="en-US" w:eastAsia="zh-CN"/>
        </w:rPr>
      </w:pPr>
      <w:r>
        <w:rPr>
          <w:rFonts w:hint="default" w:ascii="Times New Roman" w:hAnsi="Times New Roman" w:cs="Times New Roman"/>
          <w:lang w:eastAsia="zh-CN"/>
        </w:rPr>
        <w:t>（</w:t>
      </w:r>
      <w:r>
        <w:rPr>
          <w:rFonts w:hint="default" w:ascii="Times New Roman" w:hAnsi="Times New Roman" w:cs="Times New Roman"/>
          <w:lang w:val="en-US" w:eastAsia="zh-CN"/>
        </w:rPr>
        <w:t>7）氟化钾</w:t>
      </w:r>
    </w:p>
    <w:p>
      <w:pPr>
        <w:ind w:firstLine="560" w:firstLineChars="200"/>
        <w:rPr>
          <w:rFonts w:hint="default" w:ascii="Times New Roman" w:hAnsi="Times New Roman" w:cs="Times New Roman"/>
        </w:rPr>
      </w:pPr>
      <w:r>
        <w:rPr>
          <w:rFonts w:hint="default" w:ascii="Times New Roman" w:hAnsi="Times New Roman" w:cs="Times New Roman"/>
        </w:rPr>
        <w:t>在反应釜中加入饱和氢氧化钾溶液，通入氢氟酸，控制pH值为9-9.5左右，经过冷却、脱水包装自用或出售。</w:t>
      </w:r>
    </w:p>
    <w:p>
      <w:pPr>
        <w:ind w:firstLine="560" w:firstLineChars="200"/>
        <w:rPr>
          <w:rFonts w:hint="default" w:ascii="Times New Roman" w:hAnsi="Times New Roman" w:cs="Times New Roman"/>
        </w:rPr>
      </w:pPr>
      <w:r>
        <w:rPr>
          <w:rFonts w:hint="default" w:ascii="Times New Roman" w:hAnsi="Times New Roman" w:cs="Times New Roman"/>
        </w:rPr>
        <w:t>反应方程式：</w:t>
      </w:r>
      <w:r>
        <w:rPr>
          <w:rFonts w:hint="default" w:ascii="Times New Roman" w:hAnsi="Times New Roman" w:cs="Times New Roman"/>
          <w:position w:val="-12"/>
        </w:rPr>
        <w:object>
          <v:shape id="_x0000_i1035" o:spt="75" type="#_x0000_t75" style="height:19pt;width:119pt;" o:ole="t" filled="f" o:preferrelative="t" stroked="f" coordsize="21600,21600">
            <v:path/>
            <v:fill on="f" alignshape="1" focussize="0,0"/>
            <v:stroke on="f"/>
            <v:imagedata r:id="rId38" o:title=""/>
            <o:lock v:ext="edit" aspectratio="t"/>
            <w10:wrap type="none"/>
            <w10:anchorlock/>
          </v:shape>
          <o:OLEObject Type="Embed" ProgID="Equation.DSMT4" ShapeID="_x0000_i1035" DrawAspect="Content" ObjectID="_1468075735" r:id="rId37">
            <o:LockedField>false</o:LockedField>
          </o:OLEObject>
        </w:object>
      </w:r>
    </w:p>
    <w:p>
      <w:pPr>
        <w:ind w:firstLine="560" w:firstLineChars="20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8</w:t>
      </w:r>
      <w:r>
        <w:rPr>
          <w:rFonts w:hint="default" w:ascii="Times New Roman" w:hAnsi="Times New Roman" w:cs="Times New Roman"/>
        </w:rPr>
        <w:t>）氟化氢钾</w:t>
      </w:r>
    </w:p>
    <w:p>
      <w:pPr>
        <w:ind w:firstLine="560" w:firstLineChars="200"/>
        <w:rPr>
          <w:rFonts w:hint="default" w:ascii="Times New Roman" w:hAnsi="Times New Roman" w:cs="Times New Roman"/>
        </w:rPr>
      </w:pPr>
      <w:r>
        <w:rPr>
          <w:rFonts w:hint="default" w:ascii="Times New Roman" w:hAnsi="Times New Roman" w:cs="Times New Roman"/>
        </w:rPr>
        <w:t>在反应釜中通入20%氢氟酸，加入碳酸钾，控制pH值为3～3.5左右，经过冷却、脱水、干燥包装白用或出售。</w:t>
      </w:r>
    </w:p>
    <w:p>
      <w:pPr>
        <w:ind w:firstLine="560" w:firstLineChars="200"/>
        <w:rPr>
          <w:rFonts w:hint="default" w:ascii="Times New Roman" w:hAnsi="Times New Roman" w:cs="Times New Roman"/>
        </w:rPr>
      </w:pPr>
      <w:r>
        <w:rPr>
          <w:rFonts w:hint="default" w:ascii="Times New Roman" w:hAnsi="Times New Roman" w:cs="Times New Roman"/>
        </w:rPr>
        <w:t>反应方程式：</w:t>
      </w:r>
      <w:r>
        <w:rPr>
          <w:rFonts w:hint="default" w:ascii="Times New Roman" w:hAnsi="Times New Roman" w:cs="Times New Roman"/>
          <w:position w:val="-12"/>
        </w:rPr>
        <w:object>
          <v:shape id="_x0000_i1036" o:spt="75" type="#_x0000_t75" style="height:19pt;width:180pt;" o:ole="t" filled="f" o:preferrelative="t" stroked="f" coordsize="21600,21600">
            <v:path/>
            <v:fill on="f" alignshape="1" focussize="0,0"/>
            <v:stroke on="f"/>
            <v:imagedata r:id="rId40" o:title=""/>
            <o:lock v:ext="edit" aspectratio="t"/>
            <w10:wrap type="none"/>
            <w10:anchorlock/>
          </v:shape>
          <o:OLEObject Type="Embed" ProgID="Equation.DSMT4" ShapeID="_x0000_i1036" DrawAspect="Content" ObjectID="_1468075736" r:id="rId39">
            <o:LockedField>false</o:LockedField>
          </o:OLEObject>
        </w:objec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其他氟盐</w:t>
      </w:r>
    </w:p>
    <w:p>
      <w:pPr>
        <w:ind w:firstLine="560" w:firstLineChars="200"/>
        <w:rPr>
          <w:rFonts w:hint="default" w:ascii="Times New Roman" w:hAnsi="Times New Roman" w:cs="Times New Roman"/>
        </w:rPr>
      </w:pPr>
      <w:r>
        <w:rPr>
          <w:rFonts w:hint="default" w:ascii="Times New Roman" w:hAnsi="Times New Roman" w:cs="Times New Roman"/>
        </w:rPr>
        <w:t>（1）氟钛酸</w:t>
      </w:r>
    </w:p>
    <w:p>
      <w:pPr>
        <w:ind w:firstLine="560" w:firstLineChars="200"/>
        <w:rPr>
          <w:rFonts w:hint="default" w:ascii="Times New Roman" w:hAnsi="Times New Roman" w:cs="Times New Roman"/>
        </w:rPr>
      </w:pPr>
      <w:r>
        <w:rPr>
          <w:rFonts w:hint="default" w:ascii="Times New Roman" w:hAnsi="Times New Roman" w:cs="Times New Roman"/>
        </w:rPr>
        <w:t>在反应釜中将经过称重的钛白粉溶入20%氢氟酸中，进行搅拌2小时后，分析合格，经过滤后包装出售。</w:t>
      </w:r>
    </w:p>
    <w:p>
      <w:pPr>
        <w:ind w:firstLine="560" w:firstLineChars="200"/>
        <w:rPr>
          <w:rFonts w:hint="default" w:ascii="Times New Roman" w:hAnsi="Times New Roman" w:cs="Times New Roman"/>
        </w:rPr>
      </w:pPr>
      <w:r>
        <w:rPr>
          <w:rFonts w:hint="default" w:ascii="Times New Roman" w:hAnsi="Times New Roman" w:cs="Times New Roman"/>
        </w:rPr>
        <w:t>反应方程式：</w:t>
      </w:r>
      <w:r>
        <w:rPr>
          <w:rFonts w:hint="default" w:ascii="Times New Roman" w:hAnsi="Times New Roman" w:cs="Times New Roman"/>
          <w:position w:val="-12"/>
        </w:rPr>
        <w:object>
          <v:shape id="_x0000_i1037" o:spt="75" type="#_x0000_t75" style="height:19pt;width:154pt;" o:ole="t" filled="f" o:preferrelative="t" stroked="f" coordsize="21600,21600">
            <v:path/>
            <v:fill on="f" alignshape="1" focussize="0,0"/>
            <v:stroke on="f"/>
            <v:imagedata r:id="rId42" o:title=""/>
            <o:lock v:ext="edit" aspectratio="t"/>
            <w10:wrap type="none"/>
            <w10:anchorlock/>
          </v:shape>
          <o:OLEObject Type="Embed" ProgID="Equation.DSMT4" ShapeID="_x0000_i1037" DrawAspect="Content" ObjectID="_1468075737" r:id="rId41">
            <o:LockedField>false</o:LockedField>
          </o:OLEObject>
        </w:object>
      </w:r>
    </w:p>
    <w:p>
      <w:pPr>
        <w:ind w:firstLine="560" w:firstLineChars="200"/>
        <w:rPr>
          <w:rFonts w:hint="default" w:ascii="Times New Roman" w:hAnsi="Times New Roman" w:cs="Times New Roman"/>
        </w:rPr>
      </w:pPr>
      <w:r>
        <w:rPr>
          <w:rFonts w:hint="default" w:ascii="Times New Roman" w:hAnsi="Times New Roman" w:cs="Times New Roman"/>
        </w:rPr>
        <w:t>（2）氟锆酸</w:t>
      </w:r>
    </w:p>
    <w:p>
      <w:pPr>
        <w:ind w:firstLine="560" w:firstLineChars="200"/>
        <w:rPr>
          <w:rFonts w:hint="default" w:ascii="Times New Roman" w:hAnsi="Times New Roman" w:cs="Times New Roman"/>
        </w:rPr>
      </w:pPr>
      <w:r>
        <w:rPr>
          <w:rFonts w:hint="default" w:ascii="Times New Roman" w:hAnsi="Times New Roman" w:cs="Times New Roman"/>
        </w:rPr>
        <w:t>在反应釜中将经过称重的碳酸锆溶入20%氢氟酸中，进行搅拌2小时后，分析合格，经过滤后包装出售。</w:t>
      </w:r>
    </w:p>
    <w:p>
      <w:pPr>
        <w:ind w:firstLine="560" w:firstLineChars="200"/>
        <w:rPr>
          <w:rFonts w:hint="default" w:ascii="Times New Roman" w:hAnsi="Times New Roman" w:cs="Times New Roman"/>
        </w:rPr>
      </w:pPr>
      <w:r>
        <w:rPr>
          <w:rFonts w:hint="default" w:ascii="Times New Roman" w:hAnsi="Times New Roman" w:cs="Times New Roman"/>
        </w:rPr>
        <w:t>反应方程式：</w:t>
      </w:r>
      <w:r>
        <w:rPr>
          <w:rFonts w:hint="default" w:ascii="Times New Roman" w:hAnsi="Times New Roman" w:cs="Times New Roman"/>
          <w:position w:val="-12"/>
        </w:rPr>
        <w:object>
          <v:shape id="_x0000_i1038" o:spt="75" type="#_x0000_t75" style="height:19pt;width:154pt;" o:ole="t" filled="f" o:preferrelative="t" stroked="f" coordsize="21600,21600">
            <v:path/>
            <v:fill on="f" alignshape="1" focussize="0,0"/>
            <v:stroke on="f"/>
            <v:imagedata r:id="rId44" o:title=""/>
            <o:lock v:ext="edit" aspectratio="t"/>
            <w10:wrap type="none"/>
            <w10:anchorlock/>
          </v:shape>
          <o:OLEObject Type="Embed" ProgID="Equation.DSMT4" ShapeID="_x0000_i1038" DrawAspect="Content" ObjectID="_1468075738" r:id="rId43">
            <o:LockedField>false</o:LockedField>
          </o:OLEObject>
        </w:object>
      </w:r>
    </w:p>
    <w:p>
      <w:pPr>
        <w:ind w:firstLine="560" w:firstLineChars="200"/>
        <w:rPr>
          <w:rFonts w:hint="default" w:ascii="Times New Roman" w:hAnsi="Times New Roman" w:cs="Times New Roman"/>
        </w:rPr>
      </w:pPr>
      <w:r>
        <w:rPr>
          <w:rFonts w:hint="default" w:ascii="Times New Roman" w:hAnsi="Times New Roman" w:cs="Times New Roman"/>
        </w:rPr>
        <w:t>（5）尾气回收</w:t>
      </w:r>
    </w:p>
    <w:p>
      <w:pPr>
        <w:ind w:firstLine="560" w:firstLineChars="200"/>
        <w:rPr>
          <w:rFonts w:hint="default" w:ascii="Times New Roman" w:hAnsi="Times New Roman" w:cs="Times New Roman"/>
        </w:rPr>
      </w:pPr>
      <w:r>
        <w:rPr>
          <w:rFonts w:hint="default" w:ascii="Times New Roman" w:hAnsi="Times New Roman" w:cs="Times New Roman"/>
        </w:rPr>
        <w:t>各反应釜可能产生氟化氢等有毒气体，均设置有尾气吸收装置，处理后尾气高空排放。</w:t>
      </w:r>
    </w:p>
    <w:p>
      <w:pPr>
        <w:ind w:firstLine="560" w:firstLineChars="200"/>
        <w:jc w:val="center"/>
        <w:rPr>
          <w:rFonts w:hint="default" w:ascii="Times New Roman" w:hAnsi="Times New Roman" w:eastAsia="宋体" w:cs="Times New Roman"/>
          <w:lang w:val="en-US" w:eastAsia="zh-CN"/>
        </w:rPr>
      </w:pPr>
      <w:r>
        <w:rPr>
          <w:rFonts w:hint="default" w:ascii="Times New Roman" w:hAnsi="Times New Roman" w:cs="Times New Roman"/>
        </w:rPr>
        <w:t>表2.4-1 物料平衡一览表</w:t>
      </w:r>
      <w:r>
        <w:rPr>
          <w:rFonts w:hint="default" w:ascii="Times New Roman" w:hAnsi="Times New Roman" w:cs="Times New Roman"/>
          <w:lang w:eastAsia="zh-CN"/>
        </w:rPr>
        <w:t>（</w:t>
      </w:r>
      <w:r>
        <w:rPr>
          <w:rFonts w:hint="default" w:ascii="Times New Roman" w:hAnsi="Times New Roman" w:cs="Times New Roman"/>
          <w:lang w:val="en-US" w:eastAsia="zh-CN"/>
        </w:rPr>
        <w:t>单位kg/t）</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3"/>
        <w:gridCol w:w="8"/>
        <w:gridCol w:w="1"/>
        <w:gridCol w:w="3"/>
        <w:gridCol w:w="1"/>
        <w:gridCol w:w="9"/>
        <w:gridCol w:w="20"/>
        <w:gridCol w:w="10"/>
        <w:gridCol w:w="21"/>
        <w:gridCol w:w="74"/>
        <w:gridCol w:w="80"/>
        <w:gridCol w:w="35"/>
        <w:gridCol w:w="491"/>
        <w:gridCol w:w="53"/>
        <w:gridCol w:w="76"/>
        <w:gridCol w:w="100"/>
        <w:gridCol w:w="25"/>
        <w:gridCol w:w="13"/>
        <w:gridCol w:w="18"/>
        <w:gridCol w:w="71"/>
        <w:gridCol w:w="35"/>
        <w:gridCol w:w="85"/>
        <w:gridCol w:w="32"/>
        <w:gridCol w:w="73"/>
        <w:gridCol w:w="187"/>
        <w:gridCol w:w="528"/>
        <w:gridCol w:w="27"/>
        <w:gridCol w:w="96"/>
        <w:gridCol w:w="287"/>
        <w:gridCol w:w="76"/>
        <w:gridCol w:w="10"/>
        <w:gridCol w:w="20"/>
        <w:gridCol w:w="111"/>
        <w:gridCol w:w="121"/>
        <w:gridCol w:w="35"/>
        <w:gridCol w:w="127"/>
        <w:gridCol w:w="11"/>
        <w:gridCol w:w="338"/>
        <w:gridCol w:w="102"/>
        <w:gridCol w:w="17"/>
        <w:gridCol w:w="31"/>
        <w:gridCol w:w="87"/>
        <w:gridCol w:w="43"/>
        <w:gridCol w:w="11"/>
        <w:gridCol w:w="41"/>
        <w:gridCol w:w="22"/>
        <w:gridCol w:w="83"/>
        <w:gridCol w:w="102"/>
        <w:gridCol w:w="204"/>
        <w:gridCol w:w="148"/>
        <w:gridCol w:w="110"/>
        <w:gridCol w:w="38"/>
        <w:gridCol w:w="50"/>
        <w:gridCol w:w="58"/>
        <w:gridCol w:w="120"/>
        <w:gridCol w:w="27"/>
        <w:gridCol w:w="70"/>
        <w:gridCol w:w="10"/>
        <w:gridCol w:w="293"/>
        <w:gridCol w:w="120"/>
        <w:gridCol w:w="37"/>
        <w:gridCol w:w="190"/>
        <w:gridCol w:w="4"/>
        <w:gridCol w:w="60"/>
        <w:gridCol w:w="178"/>
        <w:gridCol w:w="88"/>
        <w:gridCol w:w="24"/>
        <w:gridCol w:w="171"/>
        <w:gridCol w:w="220"/>
        <w:gridCol w:w="75"/>
        <w:gridCol w:w="71"/>
        <w:gridCol w:w="195"/>
        <w:gridCol w:w="146"/>
        <w:gridCol w:w="64"/>
        <w:gridCol w:w="112"/>
        <w:gridCol w:w="3"/>
        <w:gridCol w:w="24"/>
        <w:gridCol w:w="55"/>
        <w:gridCol w:w="210"/>
        <w:gridCol w:w="80"/>
        <w:gridCol w:w="188"/>
        <w:gridCol w:w="48"/>
        <w:gridCol w:w="143"/>
        <w:gridCol w:w="38"/>
        <w:gridCol w:w="24"/>
        <w:gridCol w:w="8"/>
        <w:gridCol w:w="6"/>
        <w:gridCol w:w="994"/>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2656" w:type="pct"/>
            <w:gridSpan w:val="51"/>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投入</w:t>
            </w:r>
          </w:p>
        </w:tc>
        <w:tc>
          <w:tcPr>
            <w:tcW w:w="2343" w:type="pct"/>
            <w:gridSpan w:val="39"/>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5000" w:type="pct"/>
            <w:gridSpan w:val="90"/>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1、氟硅酸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8"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593" w:type="pct"/>
            <w:gridSpan w:val="14"/>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219" w:type="pct"/>
            <w:gridSpan w:val="1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规格</w:t>
            </w:r>
          </w:p>
        </w:tc>
        <w:tc>
          <w:tcPr>
            <w:tcW w:w="424" w:type="pct"/>
            <w:gridSpan w:val="11"/>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417" w:type="pct"/>
            <w:gridSpan w:val="9"/>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944" w:type="pct"/>
            <w:gridSpan w:val="1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424" w:type="pct"/>
            <w:gridSpan w:val="9"/>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去向</w:t>
            </w:r>
          </w:p>
        </w:tc>
        <w:tc>
          <w:tcPr>
            <w:tcW w:w="556" w:type="pct"/>
            <w:gridSpan w:val="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8"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93" w:type="pct"/>
            <w:gridSpan w:val="14"/>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氟硅酸</w:t>
            </w:r>
          </w:p>
        </w:tc>
        <w:tc>
          <w:tcPr>
            <w:tcW w:w="1219" w:type="pct"/>
            <w:gridSpan w:val="1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H2SiF6=33.6%;HF=9.2</w:t>
            </w:r>
          </w:p>
        </w:tc>
        <w:tc>
          <w:tcPr>
            <w:tcW w:w="424" w:type="pct"/>
            <w:gridSpan w:val="11"/>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956</w:t>
            </w:r>
          </w:p>
        </w:tc>
        <w:tc>
          <w:tcPr>
            <w:tcW w:w="417" w:type="pct"/>
            <w:gridSpan w:val="9"/>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44" w:type="pct"/>
            <w:gridSpan w:val="1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40%H2SiF6</w:t>
            </w:r>
          </w:p>
        </w:tc>
        <w:tc>
          <w:tcPr>
            <w:tcW w:w="424" w:type="pct"/>
            <w:gridSpan w:val="9"/>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w:t>
            </w:r>
          </w:p>
        </w:tc>
        <w:tc>
          <w:tcPr>
            <w:tcW w:w="556" w:type="pct"/>
            <w:gridSpan w:val="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8"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593" w:type="pct"/>
            <w:gridSpan w:val="14"/>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石英砂</w:t>
            </w:r>
          </w:p>
        </w:tc>
        <w:tc>
          <w:tcPr>
            <w:tcW w:w="1219" w:type="pct"/>
            <w:gridSpan w:val="1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SiO2=98%</w:t>
            </w:r>
          </w:p>
        </w:tc>
        <w:tc>
          <w:tcPr>
            <w:tcW w:w="424" w:type="pct"/>
            <w:gridSpan w:val="11"/>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c>
          <w:tcPr>
            <w:tcW w:w="417" w:type="pct"/>
            <w:gridSpan w:val="9"/>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944" w:type="pct"/>
            <w:gridSpan w:val="1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石英砂</w:t>
            </w:r>
          </w:p>
        </w:tc>
        <w:tc>
          <w:tcPr>
            <w:tcW w:w="424" w:type="pct"/>
            <w:gridSpan w:val="9"/>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回用</w:t>
            </w:r>
          </w:p>
        </w:tc>
        <w:tc>
          <w:tcPr>
            <w:tcW w:w="556" w:type="pct"/>
            <w:gridSpan w:val="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8"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593" w:type="pct"/>
            <w:gridSpan w:val="14"/>
            <w:noWrap w:val="0"/>
            <w:vAlign w:val="center"/>
          </w:tcPr>
          <w:p>
            <w:pPr>
              <w:spacing w:line="240" w:lineRule="auto"/>
              <w:jc w:val="center"/>
              <w:rPr>
                <w:rFonts w:hint="default" w:ascii="Times New Roman" w:hAnsi="Times New Roman" w:eastAsia="宋体" w:cs="Times New Roman"/>
                <w:sz w:val="21"/>
                <w:szCs w:val="21"/>
              </w:rPr>
            </w:pPr>
          </w:p>
        </w:tc>
        <w:tc>
          <w:tcPr>
            <w:tcW w:w="1219" w:type="pct"/>
            <w:gridSpan w:val="18"/>
            <w:noWrap w:val="0"/>
            <w:vAlign w:val="center"/>
          </w:tcPr>
          <w:p>
            <w:pPr>
              <w:spacing w:line="240" w:lineRule="auto"/>
              <w:jc w:val="center"/>
              <w:rPr>
                <w:rFonts w:hint="default" w:ascii="Times New Roman" w:hAnsi="Times New Roman" w:eastAsia="宋体" w:cs="Times New Roman"/>
                <w:sz w:val="21"/>
                <w:szCs w:val="21"/>
              </w:rPr>
            </w:pPr>
          </w:p>
        </w:tc>
        <w:tc>
          <w:tcPr>
            <w:tcW w:w="424" w:type="pct"/>
            <w:gridSpan w:val="11"/>
            <w:noWrap w:val="0"/>
            <w:vAlign w:val="center"/>
          </w:tcPr>
          <w:p>
            <w:pPr>
              <w:spacing w:line="240" w:lineRule="auto"/>
              <w:jc w:val="center"/>
              <w:rPr>
                <w:rFonts w:hint="default" w:ascii="Times New Roman" w:hAnsi="Times New Roman" w:eastAsia="宋体" w:cs="Times New Roman"/>
                <w:sz w:val="21"/>
                <w:szCs w:val="21"/>
              </w:rPr>
            </w:pPr>
          </w:p>
        </w:tc>
        <w:tc>
          <w:tcPr>
            <w:tcW w:w="417" w:type="pct"/>
            <w:gridSpan w:val="9"/>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944" w:type="pct"/>
            <w:gridSpan w:val="16"/>
            <w:vMerge w:val="restar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424" w:type="pct"/>
            <w:gridSpan w:val="9"/>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HF</w:t>
            </w:r>
          </w:p>
        </w:tc>
        <w:tc>
          <w:tcPr>
            <w:tcW w:w="556" w:type="pct"/>
            <w:gridSpan w:val="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8"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593" w:type="pct"/>
            <w:gridSpan w:val="14"/>
            <w:noWrap w:val="0"/>
            <w:vAlign w:val="center"/>
          </w:tcPr>
          <w:p>
            <w:pPr>
              <w:spacing w:line="240" w:lineRule="auto"/>
              <w:jc w:val="center"/>
              <w:rPr>
                <w:rFonts w:hint="default" w:ascii="Times New Roman" w:hAnsi="Times New Roman" w:eastAsia="宋体" w:cs="Times New Roman"/>
                <w:sz w:val="21"/>
                <w:szCs w:val="21"/>
              </w:rPr>
            </w:pPr>
          </w:p>
        </w:tc>
        <w:tc>
          <w:tcPr>
            <w:tcW w:w="1219" w:type="pct"/>
            <w:gridSpan w:val="18"/>
            <w:noWrap w:val="0"/>
            <w:vAlign w:val="center"/>
          </w:tcPr>
          <w:p>
            <w:pPr>
              <w:spacing w:line="240" w:lineRule="auto"/>
              <w:jc w:val="center"/>
              <w:rPr>
                <w:rFonts w:hint="default" w:ascii="Times New Roman" w:hAnsi="Times New Roman" w:eastAsia="宋体" w:cs="Times New Roman"/>
                <w:sz w:val="21"/>
                <w:szCs w:val="21"/>
              </w:rPr>
            </w:pPr>
          </w:p>
        </w:tc>
        <w:tc>
          <w:tcPr>
            <w:tcW w:w="424" w:type="pct"/>
            <w:gridSpan w:val="11"/>
            <w:noWrap w:val="0"/>
            <w:vAlign w:val="center"/>
          </w:tcPr>
          <w:p>
            <w:pPr>
              <w:spacing w:line="240" w:lineRule="auto"/>
              <w:jc w:val="center"/>
              <w:rPr>
                <w:rFonts w:hint="default" w:ascii="Times New Roman" w:hAnsi="Times New Roman" w:eastAsia="宋体" w:cs="Times New Roman"/>
                <w:sz w:val="21"/>
                <w:szCs w:val="21"/>
              </w:rPr>
            </w:pPr>
          </w:p>
        </w:tc>
        <w:tc>
          <w:tcPr>
            <w:tcW w:w="417" w:type="pct"/>
            <w:gridSpan w:val="9"/>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944" w:type="pct"/>
            <w:gridSpan w:val="16"/>
            <w:vMerge w:val="continue"/>
            <w:noWrap w:val="0"/>
            <w:vAlign w:val="center"/>
          </w:tcPr>
          <w:p>
            <w:pPr>
              <w:spacing w:line="240" w:lineRule="auto"/>
              <w:jc w:val="center"/>
              <w:rPr>
                <w:rFonts w:hint="default" w:ascii="Times New Roman" w:hAnsi="Times New Roman" w:eastAsia="宋体" w:cs="Times New Roman"/>
                <w:sz w:val="21"/>
                <w:szCs w:val="21"/>
              </w:rPr>
            </w:pPr>
          </w:p>
        </w:tc>
        <w:tc>
          <w:tcPr>
            <w:tcW w:w="424" w:type="pct"/>
            <w:gridSpan w:val="9"/>
            <w:noWrap w:val="0"/>
            <w:vAlign w:val="center"/>
          </w:tcPr>
          <w:p>
            <w:pPr>
              <w:spacing w:line="240" w:lineRule="auto"/>
              <w:jc w:val="center"/>
              <w:rPr>
                <w:rFonts w:hint="default" w:ascii="Times New Roman" w:hAnsi="Times New Roman" w:eastAsia="宋体" w:cs="Times New Roman"/>
                <w:sz w:val="21"/>
                <w:szCs w:val="21"/>
              </w:rPr>
            </w:pPr>
          </w:p>
        </w:tc>
        <w:tc>
          <w:tcPr>
            <w:tcW w:w="556" w:type="pct"/>
            <w:gridSpan w:val="5"/>
            <w:noWrap w:val="0"/>
            <w:vAlign w:val="center"/>
          </w:tcPr>
          <w:p>
            <w:pPr>
              <w:spacing w:line="240" w:lineRule="auto"/>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18"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593" w:type="pct"/>
            <w:gridSpan w:val="14"/>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1219" w:type="pct"/>
            <w:gridSpan w:val="18"/>
            <w:noWrap w:val="0"/>
            <w:vAlign w:val="center"/>
          </w:tcPr>
          <w:p>
            <w:pPr>
              <w:spacing w:line="240" w:lineRule="auto"/>
              <w:jc w:val="center"/>
              <w:rPr>
                <w:rFonts w:hint="default" w:ascii="Times New Roman" w:hAnsi="Times New Roman" w:eastAsia="宋体" w:cs="Times New Roman"/>
                <w:sz w:val="21"/>
                <w:szCs w:val="21"/>
              </w:rPr>
            </w:pPr>
          </w:p>
        </w:tc>
        <w:tc>
          <w:tcPr>
            <w:tcW w:w="424" w:type="pct"/>
            <w:gridSpan w:val="11"/>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1001</w:t>
            </w:r>
          </w:p>
        </w:tc>
        <w:tc>
          <w:tcPr>
            <w:tcW w:w="417" w:type="pct"/>
            <w:gridSpan w:val="9"/>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944" w:type="pct"/>
            <w:gridSpan w:val="1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424" w:type="pct"/>
            <w:gridSpan w:val="9"/>
            <w:noWrap w:val="0"/>
            <w:vAlign w:val="center"/>
          </w:tcPr>
          <w:p>
            <w:pPr>
              <w:spacing w:line="240" w:lineRule="auto"/>
              <w:jc w:val="center"/>
              <w:rPr>
                <w:rFonts w:hint="default" w:ascii="Times New Roman" w:hAnsi="Times New Roman" w:eastAsia="宋体" w:cs="Times New Roman"/>
                <w:sz w:val="21"/>
                <w:szCs w:val="21"/>
              </w:rPr>
            </w:pPr>
          </w:p>
        </w:tc>
        <w:tc>
          <w:tcPr>
            <w:tcW w:w="556" w:type="pct"/>
            <w:gridSpan w:val="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trPr>
        <w:tc>
          <w:tcPr>
            <w:tcW w:w="5000" w:type="pct"/>
            <w:gridSpan w:val="90"/>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2、氟硅酸锌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4"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530" w:type="pct"/>
            <w:gridSpan w:val="1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836" w:type="pct"/>
            <w:gridSpan w:val="14"/>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规格</w:t>
            </w:r>
          </w:p>
        </w:tc>
        <w:tc>
          <w:tcPr>
            <w:tcW w:w="895" w:type="pct"/>
            <w:gridSpan w:val="20"/>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260"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042" w:type="pct"/>
            <w:gridSpan w:val="1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485" w:type="pct"/>
            <w:gridSpan w:val="10"/>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去向</w:t>
            </w:r>
          </w:p>
        </w:tc>
        <w:tc>
          <w:tcPr>
            <w:tcW w:w="556" w:type="pct"/>
            <w:gridSpan w:val="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4"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30" w:type="pct"/>
            <w:gridSpan w:val="1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氟硅酸</w:t>
            </w:r>
          </w:p>
        </w:tc>
        <w:tc>
          <w:tcPr>
            <w:tcW w:w="836" w:type="pct"/>
            <w:gridSpan w:val="14"/>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SiF</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=40%</w:t>
            </w:r>
          </w:p>
        </w:tc>
        <w:tc>
          <w:tcPr>
            <w:tcW w:w="895" w:type="pct"/>
            <w:gridSpan w:val="20"/>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1140</w:t>
            </w:r>
          </w:p>
        </w:tc>
        <w:tc>
          <w:tcPr>
            <w:tcW w:w="260"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042" w:type="pct"/>
            <w:gridSpan w:val="1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ZnSiF</w:t>
            </w:r>
            <w:r>
              <w:rPr>
                <w:rFonts w:hint="default" w:ascii="Times New Roman" w:hAnsi="Times New Roman" w:eastAsia="宋体" w:cs="Times New Roman"/>
                <w:sz w:val="21"/>
                <w:szCs w:val="21"/>
                <w:vertAlign w:val="subscript"/>
              </w:rPr>
              <w:t>6</w:t>
            </w:r>
            <w:r>
              <w:rPr>
                <w:rFonts w:hint="default" w:ascii="Times New Roman" w:hAnsi="Times New Roman" w:eastAsia="宋体" w:cs="Times New Roman"/>
                <w:sz w:val="21"/>
                <w:szCs w:val="21"/>
              </w:rPr>
              <w:t>·6H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O</w:t>
            </w:r>
          </w:p>
        </w:tc>
        <w:tc>
          <w:tcPr>
            <w:tcW w:w="485" w:type="pct"/>
            <w:gridSpan w:val="10"/>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w:t>
            </w:r>
          </w:p>
        </w:tc>
        <w:tc>
          <w:tcPr>
            <w:tcW w:w="556" w:type="pct"/>
            <w:gridSpan w:val="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4"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530" w:type="pct"/>
            <w:gridSpan w:val="1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碳酸锌</w:t>
            </w:r>
          </w:p>
        </w:tc>
        <w:tc>
          <w:tcPr>
            <w:tcW w:w="836" w:type="pct"/>
            <w:gridSpan w:val="14"/>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99.7%</w:t>
            </w:r>
          </w:p>
        </w:tc>
        <w:tc>
          <w:tcPr>
            <w:tcW w:w="895" w:type="pct"/>
            <w:gridSpan w:val="20"/>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260</w:t>
            </w:r>
          </w:p>
        </w:tc>
        <w:tc>
          <w:tcPr>
            <w:tcW w:w="260"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042" w:type="pct"/>
            <w:gridSpan w:val="1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其中结晶水</w:t>
            </w:r>
          </w:p>
        </w:tc>
        <w:tc>
          <w:tcPr>
            <w:tcW w:w="485" w:type="pct"/>
            <w:gridSpan w:val="10"/>
            <w:noWrap w:val="0"/>
            <w:vAlign w:val="center"/>
          </w:tcPr>
          <w:p>
            <w:pPr>
              <w:spacing w:line="240" w:lineRule="auto"/>
              <w:jc w:val="center"/>
              <w:rPr>
                <w:rFonts w:hint="default" w:ascii="Times New Roman" w:hAnsi="Times New Roman" w:eastAsia="宋体" w:cs="Times New Roman"/>
                <w:sz w:val="21"/>
                <w:szCs w:val="21"/>
              </w:rPr>
            </w:pPr>
          </w:p>
        </w:tc>
        <w:tc>
          <w:tcPr>
            <w:tcW w:w="556" w:type="pct"/>
            <w:gridSpan w:val="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4"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530" w:type="pct"/>
            <w:gridSpan w:val="16"/>
            <w:noWrap w:val="0"/>
            <w:vAlign w:val="center"/>
          </w:tcPr>
          <w:p>
            <w:pPr>
              <w:spacing w:line="240" w:lineRule="auto"/>
              <w:jc w:val="center"/>
              <w:rPr>
                <w:rFonts w:hint="default" w:ascii="Times New Roman" w:hAnsi="Times New Roman" w:eastAsia="宋体" w:cs="Times New Roman"/>
                <w:sz w:val="21"/>
                <w:szCs w:val="21"/>
              </w:rPr>
            </w:pPr>
          </w:p>
        </w:tc>
        <w:tc>
          <w:tcPr>
            <w:tcW w:w="836" w:type="pct"/>
            <w:gridSpan w:val="14"/>
            <w:noWrap w:val="0"/>
            <w:vAlign w:val="center"/>
          </w:tcPr>
          <w:p>
            <w:pPr>
              <w:spacing w:line="240" w:lineRule="auto"/>
              <w:jc w:val="center"/>
              <w:rPr>
                <w:rFonts w:hint="default" w:ascii="Times New Roman" w:hAnsi="Times New Roman" w:eastAsia="宋体" w:cs="Times New Roman"/>
                <w:sz w:val="21"/>
                <w:szCs w:val="21"/>
              </w:rPr>
            </w:pPr>
          </w:p>
        </w:tc>
        <w:tc>
          <w:tcPr>
            <w:tcW w:w="895" w:type="pct"/>
            <w:gridSpan w:val="20"/>
            <w:noWrap w:val="0"/>
            <w:vAlign w:val="center"/>
          </w:tcPr>
          <w:p>
            <w:pPr>
              <w:spacing w:line="240" w:lineRule="auto"/>
              <w:jc w:val="center"/>
              <w:rPr>
                <w:rFonts w:hint="default" w:ascii="Times New Roman" w:hAnsi="Times New Roman" w:eastAsia="宋体" w:cs="Times New Roman"/>
                <w:sz w:val="21"/>
                <w:szCs w:val="21"/>
              </w:rPr>
            </w:pPr>
          </w:p>
        </w:tc>
        <w:tc>
          <w:tcPr>
            <w:tcW w:w="260"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042" w:type="pct"/>
            <w:gridSpan w:val="1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产品附带水</w:t>
            </w:r>
          </w:p>
        </w:tc>
        <w:tc>
          <w:tcPr>
            <w:tcW w:w="485" w:type="pct"/>
            <w:gridSpan w:val="10"/>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干燥</w:t>
            </w:r>
          </w:p>
        </w:tc>
        <w:tc>
          <w:tcPr>
            <w:tcW w:w="556" w:type="pct"/>
            <w:gridSpan w:val="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4" w:type="pct"/>
            <w:noWrap w:val="0"/>
            <w:vAlign w:val="center"/>
          </w:tcPr>
          <w:p>
            <w:pPr>
              <w:spacing w:line="240" w:lineRule="auto"/>
              <w:jc w:val="center"/>
              <w:rPr>
                <w:rFonts w:hint="default" w:ascii="Times New Roman" w:hAnsi="Times New Roman" w:eastAsia="宋体" w:cs="Times New Roman"/>
                <w:sz w:val="21"/>
                <w:szCs w:val="21"/>
              </w:rPr>
            </w:pPr>
          </w:p>
        </w:tc>
        <w:tc>
          <w:tcPr>
            <w:tcW w:w="530" w:type="pct"/>
            <w:gridSpan w:val="16"/>
            <w:noWrap w:val="0"/>
            <w:vAlign w:val="center"/>
          </w:tcPr>
          <w:p>
            <w:pPr>
              <w:spacing w:line="240" w:lineRule="auto"/>
              <w:jc w:val="center"/>
              <w:rPr>
                <w:rFonts w:hint="default" w:ascii="Times New Roman" w:hAnsi="Times New Roman" w:eastAsia="宋体" w:cs="Times New Roman"/>
                <w:sz w:val="21"/>
                <w:szCs w:val="21"/>
              </w:rPr>
            </w:pPr>
          </w:p>
        </w:tc>
        <w:tc>
          <w:tcPr>
            <w:tcW w:w="836" w:type="pct"/>
            <w:gridSpan w:val="14"/>
            <w:noWrap w:val="0"/>
            <w:vAlign w:val="center"/>
          </w:tcPr>
          <w:p>
            <w:pPr>
              <w:spacing w:line="240" w:lineRule="auto"/>
              <w:jc w:val="center"/>
              <w:rPr>
                <w:rFonts w:hint="default" w:ascii="Times New Roman" w:hAnsi="Times New Roman" w:eastAsia="宋体" w:cs="Times New Roman"/>
                <w:sz w:val="21"/>
                <w:szCs w:val="21"/>
              </w:rPr>
            </w:pPr>
          </w:p>
        </w:tc>
        <w:tc>
          <w:tcPr>
            <w:tcW w:w="895" w:type="pct"/>
            <w:gridSpan w:val="20"/>
            <w:noWrap w:val="0"/>
            <w:vAlign w:val="center"/>
          </w:tcPr>
          <w:p>
            <w:pPr>
              <w:spacing w:line="240" w:lineRule="auto"/>
              <w:jc w:val="center"/>
              <w:rPr>
                <w:rFonts w:hint="default" w:ascii="Times New Roman" w:hAnsi="Times New Roman" w:eastAsia="宋体" w:cs="Times New Roman"/>
                <w:sz w:val="21"/>
                <w:szCs w:val="21"/>
              </w:rPr>
            </w:pPr>
          </w:p>
        </w:tc>
        <w:tc>
          <w:tcPr>
            <w:tcW w:w="260" w:type="pct"/>
            <w:gridSpan w:val="8"/>
            <w:noWrap w:val="0"/>
            <w:vAlign w:val="center"/>
          </w:tcPr>
          <w:p>
            <w:pPr>
              <w:spacing w:line="240" w:lineRule="auto"/>
              <w:jc w:val="center"/>
              <w:rPr>
                <w:rFonts w:hint="default" w:ascii="Times New Roman" w:hAnsi="Times New Roman" w:eastAsia="宋体" w:cs="Times New Roman"/>
                <w:sz w:val="21"/>
                <w:szCs w:val="21"/>
              </w:rPr>
            </w:pPr>
          </w:p>
        </w:tc>
        <w:tc>
          <w:tcPr>
            <w:tcW w:w="1042" w:type="pct"/>
            <w:gridSpan w:val="1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过量碳酸锌</w:t>
            </w:r>
          </w:p>
        </w:tc>
        <w:tc>
          <w:tcPr>
            <w:tcW w:w="485" w:type="pct"/>
            <w:gridSpan w:val="10"/>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返回</w:t>
            </w:r>
          </w:p>
        </w:tc>
        <w:tc>
          <w:tcPr>
            <w:tcW w:w="556" w:type="pct"/>
            <w:gridSpan w:val="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4" w:type="pct"/>
            <w:noWrap w:val="0"/>
            <w:vAlign w:val="center"/>
          </w:tcPr>
          <w:p>
            <w:pPr>
              <w:spacing w:line="240" w:lineRule="auto"/>
              <w:jc w:val="center"/>
              <w:rPr>
                <w:rFonts w:hint="default" w:ascii="Times New Roman" w:hAnsi="Times New Roman" w:eastAsia="宋体" w:cs="Times New Roman"/>
                <w:sz w:val="21"/>
                <w:szCs w:val="21"/>
              </w:rPr>
            </w:pPr>
          </w:p>
        </w:tc>
        <w:tc>
          <w:tcPr>
            <w:tcW w:w="530" w:type="pct"/>
            <w:gridSpan w:val="16"/>
            <w:noWrap w:val="0"/>
            <w:vAlign w:val="center"/>
          </w:tcPr>
          <w:p>
            <w:pPr>
              <w:spacing w:line="240" w:lineRule="auto"/>
              <w:jc w:val="center"/>
              <w:rPr>
                <w:rFonts w:hint="default" w:ascii="Times New Roman" w:hAnsi="Times New Roman" w:eastAsia="宋体" w:cs="Times New Roman"/>
                <w:sz w:val="21"/>
                <w:szCs w:val="21"/>
              </w:rPr>
            </w:pPr>
          </w:p>
        </w:tc>
        <w:tc>
          <w:tcPr>
            <w:tcW w:w="836" w:type="pct"/>
            <w:gridSpan w:val="14"/>
            <w:noWrap w:val="0"/>
            <w:vAlign w:val="center"/>
          </w:tcPr>
          <w:p>
            <w:pPr>
              <w:spacing w:line="240" w:lineRule="auto"/>
              <w:jc w:val="center"/>
              <w:rPr>
                <w:rFonts w:hint="default" w:ascii="Times New Roman" w:hAnsi="Times New Roman" w:eastAsia="宋体" w:cs="Times New Roman"/>
                <w:sz w:val="21"/>
                <w:szCs w:val="21"/>
              </w:rPr>
            </w:pPr>
          </w:p>
        </w:tc>
        <w:tc>
          <w:tcPr>
            <w:tcW w:w="895" w:type="pct"/>
            <w:gridSpan w:val="20"/>
            <w:noWrap w:val="0"/>
            <w:vAlign w:val="center"/>
          </w:tcPr>
          <w:p>
            <w:pPr>
              <w:spacing w:line="240" w:lineRule="auto"/>
              <w:jc w:val="center"/>
              <w:rPr>
                <w:rFonts w:hint="default" w:ascii="Times New Roman" w:hAnsi="Times New Roman" w:eastAsia="宋体" w:cs="Times New Roman"/>
                <w:sz w:val="21"/>
                <w:szCs w:val="21"/>
              </w:rPr>
            </w:pPr>
          </w:p>
        </w:tc>
        <w:tc>
          <w:tcPr>
            <w:tcW w:w="260"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042" w:type="pct"/>
            <w:gridSpan w:val="1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母液</w:t>
            </w:r>
          </w:p>
        </w:tc>
        <w:tc>
          <w:tcPr>
            <w:tcW w:w="485" w:type="pct"/>
            <w:gridSpan w:val="10"/>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浓缩处理水</w:t>
            </w:r>
          </w:p>
        </w:tc>
        <w:tc>
          <w:tcPr>
            <w:tcW w:w="556" w:type="pct"/>
            <w:gridSpan w:val="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363.03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394" w:type="pct"/>
            <w:noWrap w:val="0"/>
            <w:vAlign w:val="center"/>
          </w:tcPr>
          <w:p>
            <w:pPr>
              <w:spacing w:line="240" w:lineRule="auto"/>
              <w:jc w:val="center"/>
              <w:rPr>
                <w:rFonts w:hint="default" w:ascii="Times New Roman" w:hAnsi="Times New Roman" w:eastAsia="宋体" w:cs="Times New Roman"/>
                <w:sz w:val="21"/>
                <w:szCs w:val="21"/>
              </w:rPr>
            </w:pPr>
          </w:p>
        </w:tc>
        <w:tc>
          <w:tcPr>
            <w:tcW w:w="530" w:type="pct"/>
            <w:gridSpan w:val="16"/>
            <w:noWrap w:val="0"/>
            <w:vAlign w:val="center"/>
          </w:tcPr>
          <w:p>
            <w:pPr>
              <w:spacing w:line="240" w:lineRule="auto"/>
              <w:jc w:val="center"/>
              <w:rPr>
                <w:rFonts w:hint="default" w:ascii="Times New Roman" w:hAnsi="Times New Roman" w:eastAsia="宋体" w:cs="Times New Roman"/>
                <w:sz w:val="21"/>
                <w:szCs w:val="21"/>
              </w:rPr>
            </w:pPr>
          </w:p>
        </w:tc>
        <w:tc>
          <w:tcPr>
            <w:tcW w:w="836" w:type="pct"/>
            <w:gridSpan w:val="14"/>
            <w:noWrap w:val="0"/>
            <w:vAlign w:val="center"/>
          </w:tcPr>
          <w:p>
            <w:pPr>
              <w:spacing w:line="240" w:lineRule="auto"/>
              <w:jc w:val="center"/>
              <w:rPr>
                <w:rFonts w:hint="default" w:ascii="Times New Roman" w:hAnsi="Times New Roman" w:eastAsia="宋体" w:cs="Times New Roman"/>
                <w:sz w:val="21"/>
                <w:szCs w:val="21"/>
              </w:rPr>
            </w:pPr>
          </w:p>
        </w:tc>
        <w:tc>
          <w:tcPr>
            <w:tcW w:w="895" w:type="pct"/>
            <w:gridSpan w:val="20"/>
            <w:noWrap w:val="0"/>
            <w:vAlign w:val="center"/>
          </w:tcPr>
          <w:p>
            <w:pPr>
              <w:spacing w:line="240" w:lineRule="auto"/>
              <w:jc w:val="center"/>
              <w:rPr>
                <w:rFonts w:hint="default" w:ascii="Times New Roman" w:hAnsi="Times New Roman" w:eastAsia="宋体" w:cs="Times New Roman"/>
                <w:sz w:val="21"/>
                <w:szCs w:val="21"/>
              </w:rPr>
            </w:pPr>
          </w:p>
        </w:tc>
        <w:tc>
          <w:tcPr>
            <w:tcW w:w="260"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1042" w:type="pct"/>
            <w:gridSpan w:val="1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485" w:type="pct"/>
            <w:gridSpan w:val="10"/>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w:t>
            </w:r>
            <w:r>
              <w:rPr>
                <w:rFonts w:hint="default" w:ascii="Times New Roman" w:hAnsi="Times New Roman" w:eastAsia="宋体" w:cs="Times New Roman"/>
                <w:sz w:val="21"/>
                <w:szCs w:val="21"/>
                <w:vertAlign w:val="subscript"/>
              </w:rPr>
              <w:t>2</w:t>
            </w:r>
          </w:p>
        </w:tc>
        <w:tc>
          <w:tcPr>
            <w:tcW w:w="556" w:type="pct"/>
            <w:gridSpan w:val="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4"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530" w:type="pct"/>
            <w:gridSpan w:val="1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836" w:type="pct"/>
            <w:gridSpan w:val="14"/>
            <w:noWrap w:val="0"/>
            <w:vAlign w:val="center"/>
          </w:tcPr>
          <w:p>
            <w:pPr>
              <w:spacing w:line="240" w:lineRule="auto"/>
              <w:jc w:val="center"/>
              <w:rPr>
                <w:rFonts w:hint="default" w:ascii="Times New Roman" w:hAnsi="Times New Roman" w:eastAsia="宋体" w:cs="Times New Roman"/>
                <w:sz w:val="21"/>
                <w:szCs w:val="21"/>
              </w:rPr>
            </w:pPr>
          </w:p>
        </w:tc>
        <w:tc>
          <w:tcPr>
            <w:tcW w:w="895" w:type="pct"/>
            <w:gridSpan w:val="20"/>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1620</w:t>
            </w:r>
          </w:p>
        </w:tc>
        <w:tc>
          <w:tcPr>
            <w:tcW w:w="260"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1042" w:type="pct"/>
            <w:gridSpan w:val="1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485" w:type="pct"/>
            <w:gridSpan w:val="10"/>
            <w:noWrap w:val="0"/>
            <w:vAlign w:val="center"/>
          </w:tcPr>
          <w:p>
            <w:pPr>
              <w:spacing w:line="240" w:lineRule="auto"/>
              <w:jc w:val="center"/>
              <w:rPr>
                <w:rFonts w:hint="default" w:ascii="Times New Roman" w:hAnsi="Times New Roman" w:eastAsia="宋体" w:cs="Times New Roman"/>
                <w:sz w:val="21"/>
                <w:szCs w:val="21"/>
              </w:rPr>
            </w:pPr>
          </w:p>
        </w:tc>
        <w:tc>
          <w:tcPr>
            <w:tcW w:w="556" w:type="pct"/>
            <w:gridSpan w:val="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3、氟硅酸钡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规格</w:t>
            </w:r>
          </w:p>
        </w:tc>
        <w:tc>
          <w:tcPr>
            <w:tcW w:w="399" w:type="pct"/>
            <w:gridSpan w:val="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966" w:type="pct"/>
            <w:gridSpan w:val="19"/>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675" w:type="pct"/>
            <w:gridSpan w:val="1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去向</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氟硅酸</w:t>
            </w: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H2SiF6=40%</w:t>
            </w:r>
          </w:p>
        </w:tc>
        <w:tc>
          <w:tcPr>
            <w:tcW w:w="399" w:type="pct"/>
            <w:gridSpan w:val="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1290</w:t>
            </w: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966" w:type="pct"/>
            <w:gridSpan w:val="19"/>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BaSiF6</w:t>
            </w:r>
          </w:p>
        </w:tc>
        <w:tc>
          <w:tcPr>
            <w:tcW w:w="675" w:type="pct"/>
            <w:gridSpan w:val="1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1000（水6）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碳酸钡</w:t>
            </w: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99%</w:t>
            </w:r>
          </w:p>
        </w:tc>
        <w:tc>
          <w:tcPr>
            <w:tcW w:w="399" w:type="pct"/>
            <w:gridSpan w:val="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706</w:t>
            </w: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966" w:type="pct"/>
            <w:gridSpan w:val="19"/>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产品附带水</w:t>
            </w:r>
          </w:p>
        </w:tc>
        <w:tc>
          <w:tcPr>
            <w:tcW w:w="675" w:type="pct"/>
            <w:gridSpan w:val="1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干燥</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rPr>
            </w:pP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rPr>
            </w:pPr>
          </w:p>
        </w:tc>
        <w:tc>
          <w:tcPr>
            <w:tcW w:w="399" w:type="pct"/>
            <w:gridSpan w:val="6"/>
            <w:noWrap w:val="0"/>
            <w:vAlign w:val="center"/>
          </w:tcPr>
          <w:p>
            <w:pPr>
              <w:spacing w:line="240" w:lineRule="auto"/>
              <w:jc w:val="center"/>
              <w:rPr>
                <w:rFonts w:hint="default" w:ascii="Times New Roman" w:hAnsi="Times New Roman" w:eastAsia="宋体" w:cs="Times New Roman"/>
                <w:sz w:val="21"/>
                <w:szCs w:val="21"/>
              </w:rPr>
            </w:pP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966" w:type="pct"/>
            <w:gridSpan w:val="19"/>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675" w:type="pct"/>
            <w:gridSpan w:val="1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675.55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rPr>
            </w:pP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rPr>
            </w:pP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rPr>
            </w:pPr>
          </w:p>
        </w:tc>
        <w:tc>
          <w:tcPr>
            <w:tcW w:w="399" w:type="pct"/>
            <w:gridSpan w:val="6"/>
            <w:noWrap w:val="0"/>
            <w:vAlign w:val="center"/>
          </w:tcPr>
          <w:p>
            <w:pPr>
              <w:spacing w:line="240" w:lineRule="auto"/>
              <w:jc w:val="center"/>
              <w:rPr>
                <w:rFonts w:hint="default" w:ascii="Times New Roman" w:hAnsi="Times New Roman" w:eastAsia="宋体" w:cs="Times New Roman"/>
                <w:sz w:val="21"/>
                <w:szCs w:val="21"/>
              </w:rPr>
            </w:pP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966" w:type="pct"/>
            <w:gridSpan w:val="19"/>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675" w:type="pct"/>
            <w:gridSpan w:val="12"/>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CO2</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rPr>
            </w:pPr>
          </w:p>
        </w:tc>
        <w:tc>
          <w:tcPr>
            <w:tcW w:w="399" w:type="pct"/>
            <w:gridSpan w:val="6"/>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1996</w:t>
            </w: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966" w:type="pct"/>
            <w:gridSpan w:val="19"/>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675" w:type="pct"/>
            <w:gridSpan w:val="12"/>
            <w:noWrap w:val="0"/>
            <w:vAlign w:val="center"/>
          </w:tcPr>
          <w:p>
            <w:pPr>
              <w:spacing w:line="240" w:lineRule="auto"/>
              <w:jc w:val="center"/>
              <w:rPr>
                <w:rFonts w:hint="default" w:ascii="Times New Roman" w:hAnsi="Times New Roman" w:eastAsia="宋体" w:cs="Times New Roman"/>
                <w:sz w:val="21"/>
                <w:szCs w:val="21"/>
              </w:rPr>
            </w:pPr>
          </w:p>
        </w:tc>
        <w:tc>
          <w:tcPr>
            <w:tcW w:w="780" w:type="pct"/>
            <w:gridSpan w:val="8"/>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 w:val="21"/>
                <w:szCs w:val="21"/>
                <w:lang w:val="en-US" w:eastAsia="zh-CN"/>
              </w:rPr>
              <w:t>4、氟硅酸钾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966" w:type="pct"/>
            <w:gridSpan w:val="1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675"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氟硅酸</w:t>
            </w: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H2SiF6=40%</w:t>
            </w: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1650</w:t>
            </w: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966" w:type="pct"/>
            <w:gridSpan w:val="1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K2SiF6·2H2O</w:t>
            </w:r>
          </w:p>
        </w:tc>
        <w:tc>
          <w:tcPr>
            <w:tcW w:w="675"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碳酸钾</w:t>
            </w: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w:t>
            </w: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462</w:t>
            </w: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966" w:type="pct"/>
            <w:gridSpan w:val="1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其中结晶水</w:t>
            </w:r>
          </w:p>
        </w:tc>
        <w:tc>
          <w:tcPr>
            <w:tcW w:w="675"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966" w:type="pct"/>
            <w:gridSpan w:val="1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产品附带水</w:t>
            </w:r>
          </w:p>
        </w:tc>
        <w:tc>
          <w:tcPr>
            <w:tcW w:w="675"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干燥</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966" w:type="pct"/>
            <w:gridSpan w:val="1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675"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污水处理</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966" w:type="pct"/>
            <w:gridSpan w:val="1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675"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CO2</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2112</w:t>
            </w: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966" w:type="pct"/>
            <w:gridSpan w:val="1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675"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5、氟硅酸镁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86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780"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氟硅酸</w:t>
            </w: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H2SiF6=40%</w:t>
            </w: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1312</w:t>
            </w: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6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MgSiF6·6H2O</w:t>
            </w:r>
          </w:p>
        </w:tc>
        <w:tc>
          <w:tcPr>
            <w:tcW w:w="780"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碳酸镁</w:t>
            </w: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w:t>
            </w: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308</w:t>
            </w: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86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其中结晶水</w:t>
            </w:r>
          </w:p>
        </w:tc>
        <w:tc>
          <w:tcPr>
            <w:tcW w:w="780"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86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产品附带水</w:t>
            </w:r>
          </w:p>
        </w:tc>
        <w:tc>
          <w:tcPr>
            <w:tcW w:w="780"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干燥</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86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过量碳酸镁</w:t>
            </w:r>
          </w:p>
        </w:tc>
        <w:tc>
          <w:tcPr>
            <w:tcW w:w="780"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86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780"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浓缩处理水</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86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780"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CO2</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1620</w:t>
            </w: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6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780"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6、氟硅酸钠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86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780"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氟硅酸</w:t>
            </w: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H2SiF6=40%</w:t>
            </w: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1312</w:t>
            </w: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6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Na2SiF6·6H2O</w:t>
            </w:r>
          </w:p>
        </w:tc>
        <w:tc>
          <w:tcPr>
            <w:tcW w:w="780"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碳酸钠</w:t>
            </w: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w:t>
            </w: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308</w:t>
            </w: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86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其中结晶水</w:t>
            </w:r>
          </w:p>
        </w:tc>
        <w:tc>
          <w:tcPr>
            <w:tcW w:w="780"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86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产品附带水</w:t>
            </w:r>
          </w:p>
        </w:tc>
        <w:tc>
          <w:tcPr>
            <w:tcW w:w="780"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干燥</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86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过量碳酸钠</w:t>
            </w:r>
          </w:p>
        </w:tc>
        <w:tc>
          <w:tcPr>
            <w:tcW w:w="780"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86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780"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浓缩处理水</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86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780"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CO2</w:t>
            </w: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9"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37"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838" w:type="pct"/>
            <w:gridSpan w:val="15"/>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399"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1620</w:t>
            </w:r>
          </w:p>
        </w:tc>
        <w:tc>
          <w:tcPr>
            <w:tcW w:w="399"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6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780"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780"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7、氟硼酸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34" w:type="pct"/>
            <w:gridSpan w:val="10"/>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55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100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472"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44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829"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715"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542"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34" w:type="pct"/>
            <w:gridSpan w:val="10"/>
            <w:vMerge w:val="restar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557" w:type="pct"/>
            <w:gridSpan w:val="11"/>
            <w:vMerge w:val="restar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氟硅酸</w:t>
            </w:r>
          </w:p>
        </w:tc>
        <w:tc>
          <w:tcPr>
            <w:tcW w:w="1001" w:type="pct"/>
            <w:gridSpan w:val="17"/>
            <w:vMerge w:val="restar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H2SiF6=33.6%;</w:t>
            </w:r>
          </w:p>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HF=9.2</w:t>
            </w:r>
          </w:p>
        </w:tc>
        <w:tc>
          <w:tcPr>
            <w:tcW w:w="472"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44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29"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HBF4</w:t>
            </w:r>
          </w:p>
        </w:tc>
        <w:tc>
          <w:tcPr>
            <w:tcW w:w="715"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542"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34" w:type="pct"/>
            <w:gridSpan w:val="10"/>
            <w:vMerge w:val="continue"/>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57" w:type="pct"/>
            <w:gridSpan w:val="11"/>
            <w:vMerge w:val="continue"/>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1001" w:type="pct"/>
            <w:gridSpan w:val="17"/>
            <w:vMerge w:val="continue"/>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72"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4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829"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水及催化剂</w:t>
            </w:r>
          </w:p>
        </w:tc>
        <w:tc>
          <w:tcPr>
            <w:tcW w:w="715"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产品中</w:t>
            </w:r>
          </w:p>
        </w:tc>
        <w:tc>
          <w:tcPr>
            <w:tcW w:w="542"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721.95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34" w:type="pct"/>
            <w:gridSpan w:val="10"/>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55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硼酸</w:t>
            </w:r>
          </w:p>
        </w:tc>
        <w:tc>
          <w:tcPr>
            <w:tcW w:w="100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99.9%</w:t>
            </w:r>
          </w:p>
        </w:tc>
        <w:tc>
          <w:tcPr>
            <w:tcW w:w="472"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288</w:t>
            </w:r>
          </w:p>
        </w:tc>
        <w:tc>
          <w:tcPr>
            <w:tcW w:w="44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829"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二氧化硅</w:t>
            </w:r>
          </w:p>
        </w:tc>
        <w:tc>
          <w:tcPr>
            <w:tcW w:w="715"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过滤</w:t>
            </w:r>
          </w:p>
        </w:tc>
        <w:tc>
          <w:tcPr>
            <w:tcW w:w="542"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34" w:type="pct"/>
            <w:gridSpan w:val="10"/>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55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催化剂</w:t>
            </w:r>
          </w:p>
        </w:tc>
        <w:tc>
          <w:tcPr>
            <w:tcW w:w="100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72"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44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829"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二氧化硅洗涤</w:t>
            </w:r>
          </w:p>
        </w:tc>
        <w:tc>
          <w:tcPr>
            <w:tcW w:w="715"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产品中</w:t>
            </w:r>
          </w:p>
        </w:tc>
        <w:tc>
          <w:tcPr>
            <w:tcW w:w="542"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34" w:type="pct"/>
            <w:gridSpan w:val="10"/>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55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w:t>
            </w:r>
          </w:p>
        </w:tc>
        <w:tc>
          <w:tcPr>
            <w:tcW w:w="100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72"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44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829"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二氧化硅带出水</w:t>
            </w:r>
          </w:p>
        </w:tc>
        <w:tc>
          <w:tcPr>
            <w:tcW w:w="715"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氟硅酸精制或出售</w:t>
            </w:r>
          </w:p>
        </w:tc>
        <w:tc>
          <w:tcPr>
            <w:tcW w:w="542"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34" w:type="pct"/>
            <w:gridSpan w:val="10"/>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55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100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72"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4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829"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过量硼酸</w:t>
            </w:r>
          </w:p>
        </w:tc>
        <w:tc>
          <w:tcPr>
            <w:tcW w:w="715"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产品中</w:t>
            </w:r>
          </w:p>
        </w:tc>
        <w:tc>
          <w:tcPr>
            <w:tcW w:w="542"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34" w:type="pct"/>
            <w:gridSpan w:val="10"/>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55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100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72"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4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829"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715"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542"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34" w:type="pct"/>
            <w:gridSpan w:val="10"/>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55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1001"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72"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1308.5</w:t>
            </w:r>
          </w:p>
        </w:tc>
        <w:tc>
          <w:tcPr>
            <w:tcW w:w="44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829"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715"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42" w:type="pct"/>
            <w:gridSpan w:val="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8、氟硼酸钾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07"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546" w:type="pct"/>
            <w:gridSpan w:val="1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558"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406"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406"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967"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406"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1296" w:type="pct"/>
            <w:gridSpan w:val="1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7"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546" w:type="pct"/>
            <w:gridSpan w:val="1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氟硼酸</w:t>
            </w:r>
          </w:p>
        </w:tc>
        <w:tc>
          <w:tcPr>
            <w:tcW w:w="558"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31.18%</w:t>
            </w:r>
          </w:p>
        </w:tc>
        <w:tc>
          <w:tcPr>
            <w:tcW w:w="406"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2236</w:t>
            </w:r>
          </w:p>
        </w:tc>
        <w:tc>
          <w:tcPr>
            <w:tcW w:w="406"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967"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KBF4</w:t>
            </w:r>
          </w:p>
        </w:tc>
        <w:tc>
          <w:tcPr>
            <w:tcW w:w="406"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1296" w:type="pct"/>
            <w:gridSpan w:val="1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985+15(水及KBF4.OH)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7"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546" w:type="pct"/>
            <w:gridSpan w:val="1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碳酸钾</w:t>
            </w:r>
          </w:p>
        </w:tc>
        <w:tc>
          <w:tcPr>
            <w:tcW w:w="558"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w:t>
            </w:r>
          </w:p>
        </w:tc>
        <w:tc>
          <w:tcPr>
            <w:tcW w:w="406"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550</w:t>
            </w:r>
          </w:p>
        </w:tc>
        <w:tc>
          <w:tcPr>
            <w:tcW w:w="406"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967"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湿产品带出水</w:t>
            </w:r>
          </w:p>
        </w:tc>
        <w:tc>
          <w:tcPr>
            <w:tcW w:w="406"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干燥</w:t>
            </w:r>
          </w:p>
        </w:tc>
        <w:tc>
          <w:tcPr>
            <w:tcW w:w="1296" w:type="pct"/>
            <w:gridSpan w:val="1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07"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46" w:type="pct"/>
            <w:gridSpan w:val="13"/>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58"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06"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06"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967"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406"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1296" w:type="pct"/>
            <w:gridSpan w:val="1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1430.94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07"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46" w:type="pct"/>
            <w:gridSpan w:val="13"/>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58"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06"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06"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967"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406"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CO2</w:t>
            </w:r>
          </w:p>
        </w:tc>
        <w:tc>
          <w:tcPr>
            <w:tcW w:w="1296" w:type="pct"/>
            <w:gridSpan w:val="1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07"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46" w:type="pct"/>
            <w:gridSpan w:val="1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558"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06"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2786</w:t>
            </w:r>
          </w:p>
        </w:tc>
        <w:tc>
          <w:tcPr>
            <w:tcW w:w="406"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967"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406"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1296" w:type="pct"/>
            <w:gridSpan w:val="1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9、氟硼酸钠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74"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638"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651"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47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474"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129"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47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678"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74"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638"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氟硼酸</w:t>
            </w:r>
          </w:p>
        </w:tc>
        <w:tc>
          <w:tcPr>
            <w:tcW w:w="651"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31.18%</w:t>
            </w:r>
          </w:p>
        </w:tc>
        <w:tc>
          <w:tcPr>
            <w:tcW w:w="47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2436</w:t>
            </w:r>
          </w:p>
        </w:tc>
        <w:tc>
          <w:tcPr>
            <w:tcW w:w="474"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129"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NaBF4</w:t>
            </w:r>
          </w:p>
        </w:tc>
        <w:tc>
          <w:tcPr>
            <w:tcW w:w="47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678"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74"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638"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碳酸钠</w:t>
            </w:r>
          </w:p>
        </w:tc>
        <w:tc>
          <w:tcPr>
            <w:tcW w:w="651"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w:t>
            </w:r>
          </w:p>
        </w:tc>
        <w:tc>
          <w:tcPr>
            <w:tcW w:w="47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455</w:t>
            </w:r>
          </w:p>
        </w:tc>
        <w:tc>
          <w:tcPr>
            <w:tcW w:w="474"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129"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湿产品带出水</w:t>
            </w:r>
          </w:p>
        </w:tc>
        <w:tc>
          <w:tcPr>
            <w:tcW w:w="47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干燥</w:t>
            </w:r>
          </w:p>
        </w:tc>
        <w:tc>
          <w:tcPr>
            <w:tcW w:w="678"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74"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638"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651"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7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74"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129"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47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浓缩</w:t>
            </w:r>
          </w:p>
        </w:tc>
        <w:tc>
          <w:tcPr>
            <w:tcW w:w="678"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1546.07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74"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638"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651"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7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74"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129"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47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CO2</w:t>
            </w:r>
          </w:p>
        </w:tc>
        <w:tc>
          <w:tcPr>
            <w:tcW w:w="678"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74"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638"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651"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7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2891</w:t>
            </w:r>
          </w:p>
        </w:tc>
        <w:tc>
          <w:tcPr>
            <w:tcW w:w="474"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129"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474"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678" w:type="pct"/>
            <w:gridSpan w:val="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10、氟硼酸锂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0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542" w:type="pct"/>
            <w:gridSpan w:val="1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553"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958"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1180"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555" w:type="pct"/>
            <w:gridSpan w:val="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542" w:type="pct"/>
            <w:gridSpan w:val="1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氟硼酸</w:t>
            </w:r>
          </w:p>
        </w:tc>
        <w:tc>
          <w:tcPr>
            <w:tcW w:w="553"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31.18%</w:t>
            </w: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1905</w:t>
            </w: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958"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LiBF4·3H2O</w:t>
            </w:r>
          </w:p>
        </w:tc>
        <w:tc>
          <w:tcPr>
            <w:tcW w:w="1180"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555" w:type="pct"/>
            <w:gridSpan w:val="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42" w:type="pct"/>
            <w:gridSpan w:val="13"/>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53"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958"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结晶水</w:t>
            </w:r>
          </w:p>
        </w:tc>
        <w:tc>
          <w:tcPr>
            <w:tcW w:w="1180"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产品中</w:t>
            </w:r>
          </w:p>
        </w:tc>
        <w:tc>
          <w:tcPr>
            <w:tcW w:w="555" w:type="pct"/>
            <w:gridSpan w:val="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542" w:type="pct"/>
            <w:gridSpan w:val="1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碳酸锂</w:t>
            </w:r>
          </w:p>
        </w:tc>
        <w:tc>
          <w:tcPr>
            <w:tcW w:w="553"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w:t>
            </w: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245</w:t>
            </w: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958"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湿产品带出水</w:t>
            </w:r>
          </w:p>
        </w:tc>
        <w:tc>
          <w:tcPr>
            <w:tcW w:w="1180"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干燥</w:t>
            </w:r>
          </w:p>
        </w:tc>
        <w:tc>
          <w:tcPr>
            <w:tcW w:w="555" w:type="pct"/>
            <w:gridSpan w:val="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42" w:type="pct"/>
            <w:gridSpan w:val="13"/>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53"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958"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1180"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浓缩</w:t>
            </w:r>
          </w:p>
        </w:tc>
        <w:tc>
          <w:tcPr>
            <w:tcW w:w="555" w:type="pct"/>
            <w:gridSpan w:val="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898.52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42" w:type="pct"/>
            <w:gridSpan w:val="13"/>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53"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958" w:type="pct"/>
            <w:gridSpan w:val="21"/>
            <w:vMerge w:val="restar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1180"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HF（浓缩分解）</w:t>
            </w:r>
          </w:p>
        </w:tc>
        <w:tc>
          <w:tcPr>
            <w:tcW w:w="555" w:type="pct"/>
            <w:gridSpan w:val="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42" w:type="pct"/>
            <w:gridSpan w:val="13"/>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53"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958" w:type="pct"/>
            <w:gridSpan w:val="21"/>
            <w:vMerge w:val="continue"/>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1180"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CO2</w:t>
            </w:r>
          </w:p>
        </w:tc>
        <w:tc>
          <w:tcPr>
            <w:tcW w:w="555" w:type="pct"/>
            <w:gridSpan w:val="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0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542" w:type="pct"/>
            <w:gridSpan w:val="13"/>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553"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2150</w:t>
            </w: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958"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1180" w:type="pct"/>
            <w:gridSpan w:val="21"/>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55" w:type="pct"/>
            <w:gridSpan w:val="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11、氟铝酸钾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633"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507"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423"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039" w:type="pct"/>
            <w:gridSpan w:val="2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724"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8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633"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507"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w:t>
            </w: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410</w:t>
            </w:r>
          </w:p>
        </w:tc>
        <w:tc>
          <w:tcPr>
            <w:tcW w:w="423"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39" w:type="pct"/>
            <w:gridSpan w:val="2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K3AlF6·2H2O</w:t>
            </w:r>
          </w:p>
        </w:tc>
        <w:tc>
          <w:tcPr>
            <w:tcW w:w="724"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8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633"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Al(OH)3</w:t>
            </w:r>
          </w:p>
        </w:tc>
        <w:tc>
          <w:tcPr>
            <w:tcW w:w="507"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w:t>
            </w: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265</w:t>
            </w:r>
          </w:p>
        </w:tc>
        <w:tc>
          <w:tcPr>
            <w:tcW w:w="423"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39" w:type="pct"/>
            <w:gridSpan w:val="2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结晶水</w:t>
            </w:r>
          </w:p>
        </w:tc>
        <w:tc>
          <w:tcPr>
            <w:tcW w:w="724"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产品中</w:t>
            </w:r>
          </w:p>
        </w:tc>
        <w:tc>
          <w:tcPr>
            <w:tcW w:w="8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633"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K2CO3</w:t>
            </w:r>
          </w:p>
        </w:tc>
        <w:tc>
          <w:tcPr>
            <w:tcW w:w="507"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w:t>
            </w: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700</w:t>
            </w:r>
          </w:p>
        </w:tc>
        <w:tc>
          <w:tcPr>
            <w:tcW w:w="423"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039" w:type="pct"/>
            <w:gridSpan w:val="2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湿品用带出水</w:t>
            </w:r>
          </w:p>
        </w:tc>
        <w:tc>
          <w:tcPr>
            <w:tcW w:w="724"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H2O</w:t>
            </w:r>
          </w:p>
        </w:tc>
        <w:tc>
          <w:tcPr>
            <w:tcW w:w="8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633"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H2O</w:t>
            </w:r>
          </w:p>
        </w:tc>
        <w:tc>
          <w:tcPr>
            <w:tcW w:w="507"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600</w:t>
            </w:r>
          </w:p>
        </w:tc>
        <w:tc>
          <w:tcPr>
            <w:tcW w:w="423"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039" w:type="pct"/>
            <w:gridSpan w:val="2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724"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H2O、HF</w:t>
            </w:r>
          </w:p>
        </w:tc>
        <w:tc>
          <w:tcPr>
            <w:tcW w:w="8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591.07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633"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507"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423"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039" w:type="pct"/>
            <w:gridSpan w:val="2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724"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CO2</w:t>
            </w:r>
          </w:p>
        </w:tc>
        <w:tc>
          <w:tcPr>
            <w:tcW w:w="8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633"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507"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423"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039" w:type="pct"/>
            <w:gridSpan w:val="2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724"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8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633"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507"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1975</w:t>
            </w:r>
          </w:p>
        </w:tc>
        <w:tc>
          <w:tcPr>
            <w:tcW w:w="423"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1039" w:type="pct"/>
            <w:gridSpan w:val="2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724"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8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12、氟铝酸钠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633"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507"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423"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039" w:type="pct"/>
            <w:gridSpan w:val="2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724"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8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633"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507"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w:t>
            </w: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410</w:t>
            </w:r>
          </w:p>
        </w:tc>
        <w:tc>
          <w:tcPr>
            <w:tcW w:w="423"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039" w:type="pct"/>
            <w:gridSpan w:val="2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Na3AlF6·2H2O</w:t>
            </w:r>
          </w:p>
        </w:tc>
        <w:tc>
          <w:tcPr>
            <w:tcW w:w="724"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8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633"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Al(OH)3</w:t>
            </w:r>
          </w:p>
        </w:tc>
        <w:tc>
          <w:tcPr>
            <w:tcW w:w="507"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w:t>
            </w: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265</w:t>
            </w:r>
          </w:p>
        </w:tc>
        <w:tc>
          <w:tcPr>
            <w:tcW w:w="423"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039" w:type="pct"/>
            <w:gridSpan w:val="2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结晶水</w:t>
            </w:r>
          </w:p>
        </w:tc>
        <w:tc>
          <w:tcPr>
            <w:tcW w:w="724"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产品中</w:t>
            </w:r>
          </w:p>
        </w:tc>
        <w:tc>
          <w:tcPr>
            <w:tcW w:w="8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633"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Na2CO3</w:t>
            </w:r>
          </w:p>
        </w:tc>
        <w:tc>
          <w:tcPr>
            <w:tcW w:w="507"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w:t>
            </w: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700</w:t>
            </w:r>
          </w:p>
        </w:tc>
        <w:tc>
          <w:tcPr>
            <w:tcW w:w="423"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039" w:type="pct"/>
            <w:gridSpan w:val="2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湿品用带出水</w:t>
            </w:r>
          </w:p>
        </w:tc>
        <w:tc>
          <w:tcPr>
            <w:tcW w:w="724"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H2O</w:t>
            </w:r>
          </w:p>
        </w:tc>
        <w:tc>
          <w:tcPr>
            <w:tcW w:w="8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633"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H2O</w:t>
            </w:r>
          </w:p>
        </w:tc>
        <w:tc>
          <w:tcPr>
            <w:tcW w:w="507"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600</w:t>
            </w:r>
          </w:p>
        </w:tc>
        <w:tc>
          <w:tcPr>
            <w:tcW w:w="423"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039" w:type="pct"/>
            <w:gridSpan w:val="2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724"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H2O、HF</w:t>
            </w:r>
          </w:p>
        </w:tc>
        <w:tc>
          <w:tcPr>
            <w:tcW w:w="8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591.07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633"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507"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423"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039" w:type="pct"/>
            <w:gridSpan w:val="2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724"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CO2</w:t>
            </w:r>
          </w:p>
        </w:tc>
        <w:tc>
          <w:tcPr>
            <w:tcW w:w="8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633"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507"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423"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039" w:type="pct"/>
            <w:gridSpan w:val="2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724"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8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633"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507"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1975</w:t>
            </w:r>
          </w:p>
        </w:tc>
        <w:tc>
          <w:tcPr>
            <w:tcW w:w="423"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1039" w:type="pct"/>
            <w:gridSpan w:val="2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724"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823"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13、氟钛酸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537"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644"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537"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129" w:type="pct"/>
            <w:gridSpan w:val="1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53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537"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644"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w:t>
            </w:r>
          </w:p>
        </w:tc>
        <w:tc>
          <w:tcPr>
            <w:tcW w:w="537"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295</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129" w:type="pct"/>
            <w:gridSpan w:val="1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H2TiF6=40%</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53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537"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TiO2</w:t>
            </w:r>
          </w:p>
        </w:tc>
        <w:tc>
          <w:tcPr>
            <w:tcW w:w="644"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97%</w:t>
            </w:r>
          </w:p>
        </w:tc>
        <w:tc>
          <w:tcPr>
            <w:tcW w:w="537"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129" w:type="pct"/>
            <w:gridSpan w:val="1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滤渣</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返回</w:t>
            </w:r>
          </w:p>
        </w:tc>
        <w:tc>
          <w:tcPr>
            <w:tcW w:w="53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537"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H2O</w:t>
            </w:r>
          </w:p>
        </w:tc>
        <w:tc>
          <w:tcPr>
            <w:tcW w:w="644"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537"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504</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129" w:type="pct"/>
            <w:gridSpan w:val="1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53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537"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644"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537"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1001</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1129" w:type="pct"/>
            <w:gridSpan w:val="1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53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14、氟锆酸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537"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644"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537"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129" w:type="pct"/>
            <w:gridSpan w:val="1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53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537"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644"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w:t>
            </w:r>
          </w:p>
        </w:tc>
        <w:tc>
          <w:tcPr>
            <w:tcW w:w="537"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295</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129" w:type="pct"/>
            <w:gridSpan w:val="1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H2TiF6=40%</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53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537"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TiO2</w:t>
            </w:r>
          </w:p>
        </w:tc>
        <w:tc>
          <w:tcPr>
            <w:tcW w:w="644"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97%</w:t>
            </w:r>
          </w:p>
        </w:tc>
        <w:tc>
          <w:tcPr>
            <w:tcW w:w="537"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129" w:type="pct"/>
            <w:gridSpan w:val="1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滤渣</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返回</w:t>
            </w:r>
          </w:p>
        </w:tc>
        <w:tc>
          <w:tcPr>
            <w:tcW w:w="53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537"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H2O</w:t>
            </w:r>
          </w:p>
        </w:tc>
        <w:tc>
          <w:tcPr>
            <w:tcW w:w="644"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537"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504</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129" w:type="pct"/>
            <w:gridSpan w:val="1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53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537" w:type="pct"/>
            <w:gridSpan w:val="11"/>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644"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537" w:type="pct"/>
            <w:gridSpan w:val="1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1001</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1129" w:type="pct"/>
            <w:gridSpan w:val="1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536" w:type="pct"/>
            <w:gridSpan w:val="13"/>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p>
        </w:tc>
        <w:tc>
          <w:tcPr>
            <w:tcW w:w="53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15、氟化钠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02"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427"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1503" w:type="pct"/>
            <w:gridSpan w:val="3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40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40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881"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402"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576"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2"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427"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1503" w:type="pct"/>
            <w:gridSpan w:val="30"/>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w:t>
            </w:r>
          </w:p>
        </w:tc>
        <w:tc>
          <w:tcPr>
            <w:tcW w:w="40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210</w:t>
            </w:r>
          </w:p>
        </w:tc>
        <w:tc>
          <w:tcPr>
            <w:tcW w:w="40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81"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NaF</w:t>
            </w:r>
          </w:p>
        </w:tc>
        <w:tc>
          <w:tcPr>
            <w:tcW w:w="402"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576"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5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2" w:type="pct"/>
            <w:gridSpan w:val="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427" w:type="pct"/>
            <w:gridSpan w:val="10"/>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碳酸钠</w:t>
            </w:r>
          </w:p>
        </w:tc>
        <w:tc>
          <w:tcPr>
            <w:tcW w:w="1503" w:type="pct"/>
            <w:gridSpan w:val="30"/>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90.2%</w:t>
            </w: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665</w:t>
            </w: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881" w:type="pct"/>
            <w:gridSpan w:val="1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423"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返回</w:t>
            </w:r>
          </w:p>
        </w:tc>
        <w:tc>
          <w:tcPr>
            <w:tcW w:w="555" w:type="pct"/>
            <w:gridSpan w:val="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2" w:type="pct"/>
            <w:gridSpan w:val="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427" w:type="pct"/>
            <w:gridSpan w:val="10"/>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w:t>
            </w:r>
          </w:p>
        </w:tc>
        <w:tc>
          <w:tcPr>
            <w:tcW w:w="1503" w:type="pct"/>
            <w:gridSpan w:val="30"/>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98.5%</w:t>
            </w: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125</w:t>
            </w: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881" w:type="pct"/>
            <w:gridSpan w:val="16"/>
            <w:vMerge w:val="restar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423"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555" w:type="pct"/>
            <w:gridSpan w:val="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2" w:type="pct"/>
            <w:gridSpan w:val="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427" w:type="pct"/>
            <w:gridSpan w:val="10"/>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1503" w:type="pct"/>
            <w:gridSpan w:val="30"/>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881" w:type="pct"/>
            <w:gridSpan w:val="16"/>
            <w:vMerge w:val="continue"/>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23"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55" w:type="pct"/>
            <w:gridSpan w:val="4"/>
            <w:noWrap w:val="0"/>
            <w:vAlign w:val="center"/>
          </w:tcPr>
          <w:p>
            <w:pPr>
              <w:spacing w:line="240" w:lineRule="auto"/>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02" w:type="pct"/>
            <w:gridSpan w:val="5"/>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427" w:type="pct"/>
            <w:gridSpan w:val="10"/>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1503" w:type="pct"/>
            <w:gridSpan w:val="30"/>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2000</w:t>
            </w:r>
          </w:p>
        </w:tc>
        <w:tc>
          <w:tcPr>
            <w:tcW w:w="402"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881" w:type="pct"/>
            <w:gridSpan w:val="1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423"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55" w:type="pct"/>
            <w:gridSpan w:val="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16、氟化氢钠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474"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1496" w:type="pct"/>
            <w:gridSpan w:val="31"/>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395"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395"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874"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41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39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474"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1496" w:type="pct"/>
            <w:gridSpan w:val="31"/>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w:t>
            </w:r>
          </w:p>
        </w:tc>
        <w:tc>
          <w:tcPr>
            <w:tcW w:w="395"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513</w:t>
            </w:r>
          </w:p>
        </w:tc>
        <w:tc>
          <w:tcPr>
            <w:tcW w:w="395"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74"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NaHF2</w:t>
            </w:r>
          </w:p>
        </w:tc>
        <w:tc>
          <w:tcPr>
            <w:tcW w:w="41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39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474"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Na2CO3</w:t>
            </w:r>
          </w:p>
        </w:tc>
        <w:tc>
          <w:tcPr>
            <w:tcW w:w="1496" w:type="pct"/>
            <w:gridSpan w:val="31"/>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90.2%</w:t>
            </w:r>
          </w:p>
        </w:tc>
        <w:tc>
          <w:tcPr>
            <w:tcW w:w="395"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895</w:t>
            </w:r>
          </w:p>
        </w:tc>
        <w:tc>
          <w:tcPr>
            <w:tcW w:w="395"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874"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H2O</w:t>
            </w:r>
          </w:p>
        </w:tc>
        <w:tc>
          <w:tcPr>
            <w:tcW w:w="41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干燥</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39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474"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1496" w:type="pct"/>
            <w:gridSpan w:val="31"/>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395"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395"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874"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41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返回</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978.99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39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474"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1496" w:type="pct"/>
            <w:gridSpan w:val="31"/>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395"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395"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874" w:type="pct"/>
            <w:gridSpan w:val="16"/>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41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39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474"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1496" w:type="pct"/>
            <w:gridSpan w:val="31"/>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395"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395"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874" w:type="pct"/>
            <w:gridSpan w:val="16"/>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41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CO2</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474"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1496" w:type="pct"/>
            <w:gridSpan w:val="31"/>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395"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2408</w:t>
            </w:r>
          </w:p>
        </w:tc>
        <w:tc>
          <w:tcPr>
            <w:tcW w:w="395"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874"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41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17、氟化钾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02"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427"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1503" w:type="pct"/>
            <w:gridSpan w:val="3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40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40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881"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2"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427"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1503" w:type="pct"/>
            <w:gridSpan w:val="3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w:t>
            </w:r>
          </w:p>
        </w:tc>
        <w:tc>
          <w:tcPr>
            <w:tcW w:w="40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210</w:t>
            </w:r>
          </w:p>
        </w:tc>
        <w:tc>
          <w:tcPr>
            <w:tcW w:w="40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81"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KF</w:t>
            </w: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2"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427"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K2CO3</w:t>
            </w:r>
          </w:p>
        </w:tc>
        <w:tc>
          <w:tcPr>
            <w:tcW w:w="1503" w:type="pct"/>
            <w:gridSpan w:val="3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90.2%</w:t>
            </w:r>
          </w:p>
        </w:tc>
        <w:tc>
          <w:tcPr>
            <w:tcW w:w="40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665</w:t>
            </w:r>
          </w:p>
        </w:tc>
        <w:tc>
          <w:tcPr>
            <w:tcW w:w="40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881"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返回</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2"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427"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w:t>
            </w:r>
          </w:p>
        </w:tc>
        <w:tc>
          <w:tcPr>
            <w:tcW w:w="1503" w:type="pct"/>
            <w:gridSpan w:val="3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98.5%</w:t>
            </w:r>
          </w:p>
        </w:tc>
        <w:tc>
          <w:tcPr>
            <w:tcW w:w="40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125</w:t>
            </w:r>
          </w:p>
        </w:tc>
        <w:tc>
          <w:tcPr>
            <w:tcW w:w="40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881" w:type="pct"/>
            <w:gridSpan w:val="16"/>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2"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427"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1503" w:type="pct"/>
            <w:gridSpan w:val="3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40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40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881" w:type="pct"/>
            <w:gridSpan w:val="16"/>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02"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427"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1503" w:type="pct"/>
            <w:gridSpan w:val="3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40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2000</w:t>
            </w:r>
          </w:p>
        </w:tc>
        <w:tc>
          <w:tcPr>
            <w:tcW w:w="402"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881"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423"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18、氟化氢钾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474"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1496" w:type="pct"/>
            <w:gridSpan w:val="31"/>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395"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395"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874"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41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39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474"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1496" w:type="pct"/>
            <w:gridSpan w:val="31"/>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w:t>
            </w:r>
          </w:p>
        </w:tc>
        <w:tc>
          <w:tcPr>
            <w:tcW w:w="395"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513</w:t>
            </w:r>
          </w:p>
        </w:tc>
        <w:tc>
          <w:tcPr>
            <w:tcW w:w="395"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74"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KHF2</w:t>
            </w:r>
          </w:p>
        </w:tc>
        <w:tc>
          <w:tcPr>
            <w:tcW w:w="41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39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474"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K2CO3</w:t>
            </w:r>
          </w:p>
        </w:tc>
        <w:tc>
          <w:tcPr>
            <w:tcW w:w="1496" w:type="pct"/>
            <w:gridSpan w:val="31"/>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90.2%</w:t>
            </w:r>
          </w:p>
        </w:tc>
        <w:tc>
          <w:tcPr>
            <w:tcW w:w="395"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895</w:t>
            </w:r>
          </w:p>
        </w:tc>
        <w:tc>
          <w:tcPr>
            <w:tcW w:w="395"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874"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H2O</w:t>
            </w:r>
          </w:p>
        </w:tc>
        <w:tc>
          <w:tcPr>
            <w:tcW w:w="41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干燥</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39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474"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1496" w:type="pct"/>
            <w:gridSpan w:val="31"/>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395"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c>
          <w:tcPr>
            <w:tcW w:w="395"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874"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41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返回</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978.99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39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474"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1496" w:type="pct"/>
            <w:gridSpan w:val="31"/>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395"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395"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874" w:type="pct"/>
            <w:gridSpan w:val="16"/>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41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39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474"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1496" w:type="pct"/>
            <w:gridSpan w:val="31"/>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395"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395"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874" w:type="pct"/>
            <w:gridSpan w:val="16"/>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41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CO2</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39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474" w:type="pct"/>
            <w:gridSpan w:val="1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1496" w:type="pct"/>
            <w:gridSpan w:val="31"/>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395"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2408</w:t>
            </w:r>
          </w:p>
        </w:tc>
        <w:tc>
          <w:tcPr>
            <w:tcW w:w="395" w:type="pct"/>
            <w:gridSpan w:val="8"/>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874" w:type="pct"/>
            <w:gridSpan w:val="1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41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19、氟化钡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0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400"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2057" w:type="pct"/>
            <w:gridSpan w:val="4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402"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401"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401"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401"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400"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2057" w:type="pct"/>
            <w:gridSpan w:val="4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99.85%</w:t>
            </w:r>
          </w:p>
        </w:tc>
        <w:tc>
          <w:tcPr>
            <w:tcW w:w="402"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520</w:t>
            </w:r>
          </w:p>
        </w:tc>
        <w:tc>
          <w:tcPr>
            <w:tcW w:w="401"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401"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BaF2</w:t>
            </w:r>
          </w:p>
        </w:tc>
        <w:tc>
          <w:tcPr>
            <w:tcW w:w="401"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535"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400"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BaCO3</w:t>
            </w:r>
          </w:p>
        </w:tc>
        <w:tc>
          <w:tcPr>
            <w:tcW w:w="2057" w:type="pct"/>
            <w:gridSpan w:val="4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w:t>
            </w:r>
          </w:p>
        </w:tc>
        <w:tc>
          <w:tcPr>
            <w:tcW w:w="402"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440</w:t>
            </w:r>
          </w:p>
        </w:tc>
        <w:tc>
          <w:tcPr>
            <w:tcW w:w="401"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401"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380"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返回</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400"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H2O</w:t>
            </w:r>
          </w:p>
        </w:tc>
        <w:tc>
          <w:tcPr>
            <w:tcW w:w="2057" w:type="pct"/>
            <w:gridSpan w:val="4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含HF=0.0001%（回收水）</w:t>
            </w:r>
          </w:p>
        </w:tc>
        <w:tc>
          <w:tcPr>
            <w:tcW w:w="402"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w:t>
            </w:r>
          </w:p>
        </w:tc>
        <w:tc>
          <w:tcPr>
            <w:tcW w:w="401"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401" w:type="pct"/>
            <w:gridSpan w:val="9"/>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380"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0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400"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2057" w:type="pct"/>
            <w:gridSpan w:val="4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402"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2000</w:t>
            </w:r>
          </w:p>
        </w:tc>
        <w:tc>
          <w:tcPr>
            <w:tcW w:w="401"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401" w:type="pct"/>
            <w:gridSpan w:val="9"/>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380"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400"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400"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2057" w:type="pct"/>
            <w:gridSpan w:val="4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402"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3000</w:t>
            </w:r>
          </w:p>
        </w:tc>
        <w:tc>
          <w:tcPr>
            <w:tcW w:w="401"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401"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380" w:type="pct"/>
            <w:gridSpan w:val="6"/>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p>
        </w:tc>
        <w:tc>
          <w:tcPr>
            <w:tcW w:w="555" w:type="pct"/>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20、氟化锌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517"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AHF</w:t>
            </w: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99.8%</w:t>
            </w: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173</w:t>
            </w: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517"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ZnF2</w:t>
            </w: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碳酸锌</w:t>
            </w: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w:t>
            </w: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1087</w:t>
            </w: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517"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套用</w:t>
            </w: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H2O</w:t>
            </w: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260</w:t>
            </w: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517" w:type="pct"/>
            <w:gridSpan w:val="9"/>
            <w:vMerge w:val="restar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517" w:type="pct"/>
            <w:gridSpan w:val="9"/>
            <w:vMerge w:val="continue"/>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CO2</w:t>
            </w: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1520</w:t>
            </w: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17"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21、氟化锶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517"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AHF</w:t>
            </w: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99.8%</w:t>
            </w: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173</w:t>
            </w: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517"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SrF2</w:t>
            </w: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碳酸锶</w:t>
            </w: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w:t>
            </w: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1087</w:t>
            </w: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517"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套用</w:t>
            </w: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H2O</w:t>
            </w: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260</w:t>
            </w: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517" w:type="pct"/>
            <w:gridSpan w:val="9"/>
            <w:vMerge w:val="restar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517" w:type="pct"/>
            <w:gridSpan w:val="9"/>
            <w:vMerge w:val="continue"/>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CO2</w:t>
            </w: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1520</w:t>
            </w: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17"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4998" w:type="pct"/>
            <w:gridSpan w:val="8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22、氟化锂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规格</w:t>
            </w: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517"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名称</w:t>
            </w: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去向</w:t>
            </w: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AHF</w:t>
            </w: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99.8%</w:t>
            </w: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173</w:t>
            </w: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517"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LiF</w:t>
            </w: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产品</w:t>
            </w: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碳酸锂</w:t>
            </w: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99%</w:t>
            </w: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1087</w:t>
            </w: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517"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母液</w:t>
            </w: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套用</w:t>
            </w: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H2O</w:t>
            </w: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260</w:t>
            </w: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517" w:type="pct"/>
            <w:gridSpan w:val="9"/>
            <w:vMerge w:val="restart"/>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HF</w:t>
            </w: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517" w:type="pct"/>
            <w:gridSpan w:val="9"/>
            <w:vMerge w:val="continue"/>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CO2</w:t>
            </w: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pct"/>
          <w:trHeight w:val="23" w:hRule="atLeast"/>
        </w:trPr>
        <w:tc>
          <w:tcPr>
            <w:tcW w:w="517"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696" w:type="pct"/>
            <w:gridSpan w:val="14"/>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621" w:type="pct"/>
            <w:gridSpan w:val="8"/>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18" w:type="pct"/>
            <w:gridSpan w:val="12"/>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1520</w:t>
            </w:r>
          </w:p>
        </w:tc>
        <w:tc>
          <w:tcPr>
            <w:tcW w:w="517" w:type="pct"/>
            <w:gridSpan w:val="11"/>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517" w:type="pct"/>
            <w:gridSpan w:val="9"/>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合计</w:t>
            </w:r>
          </w:p>
        </w:tc>
        <w:tc>
          <w:tcPr>
            <w:tcW w:w="954" w:type="pct"/>
            <w:gridSpan w:val="17"/>
            <w:noWrap w:val="0"/>
            <w:vAlign w:val="center"/>
          </w:tcPr>
          <w:p>
            <w:pPr>
              <w:spacing w:line="240" w:lineRule="auto"/>
              <w:jc w:val="center"/>
              <w:rPr>
                <w:rFonts w:hint="default" w:ascii="Times New Roman" w:hAnsi="Times New Roman" w:eastAsia="宋体" w:cs="Times New Roman"/>
                <w:sz w:val="21"/>
                <w:szCs w:val="21"/>
                <w:lang w:val="en-US" w:eastAsia="zh-CN"/>
              </w:rPr>
            </w:pPr>
          </w:p>
        </w:tc>
        <w:tc>
          <w:tcPr>
            <w:tcW w:w="652" w:type="pct"/>
            <w:gridSpan w:val="6"/>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1520</w:t>
            </w:r>
          </w:p>
        </w:tc>
      </w:tr>
    </w:tbl>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3</w:t>
      </w:r>
      <w:r>
        <w:rPr>
          <w:rFonts w:hint="default" w:ascii="Times New Roman" w:hAnsi="Times New Roman" w:cs="Times New Roman"/>
        </w:rPr>
        <w:t>.2主要生产设备</w:t>
      </w:r>
    </w:p>
    <w:p>
      <w:pPr>
        <w:ind w:firstLine="560" w:firstLineChars="200"/>
        <w:rPr>
          <w:rFonts w:hint="default" w:ascii="Times New Roman" w:hAnsi="Times New Roman" w:cs="Times New Roman"/>
        </w:rPr>
      </w:pPr>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rPr>
        <w:t>涉及的设备详见下表所示：</w:t>
      </w:r>
    </w:p>
    <w:p>
      <w:pPr>
        <w:ind w:firstLine="560" w:firstLineChars="200"/>
        <w:rPr>
          <w:rFonts w:hint="default" w:ascii="Times New Roman" w:hAnsi="Times New Roman" w:cs="Times New Roman"/>
        </w:rPr>
      </w:pPr>
      <w:r>
        <w:rPr>
          <w:rFonts w:hint="default" w:ascii="Times New Roman" w:hAnsi="Times New Roman" w:cs="Times New Roman"/>
        </w:rPr>
        <w:t>一、</w:t>
      </w:r>
      <w:r>
        <w:rPr>
          <w:rFonts w:hint="default" w:ascii="Times New Roman" w:hAnsi="Times New Roman" w:cs="Times New Roman"/>
          <w:sz w:val="28"/>
          <w:szCs w:val="28"/>
        </w:rPr>
        <w:t>企业现役装置主要设备见</w:t>
      </w:r>
      <w:r>
        <w:rPr>
          <w:rFonts w:hint="default" w:ascii="Times New Roman" w:hAnsi="Times New Roman" w:cs="Times New Roman"/>
          <w:sz w:val="28"/>
          <w:szCs w:val="28"/>
          <w:lang w:val="en-US" w:eastAsia="zh-CN"/>
        </w:rPr>
        <w:t>下表</w:t>
      </w:r>
      <w:r>
        <w:rPr>
          <w:rFonts w:hint="default" w:ascii="Times New Roman" w:hAnsi="Times New Roman" w:cs="Times New Roman"/>
        </w:rPr>
        <w:t>：</w:t>
      </w:r>
    </w:p>
    <w:p>
      <w:pPr>
        <w:jc w:val="center"/>
        <w:rPr>
          <w:rFonts w:hint="default" w:ascii="Times New Roman" w:hAnsi="Times New Roman" w:cs="Times New Roman"/>
        </w:rPr>
      </w:pPr>
      <w:r>
        <w:rPr>
          <w:rFonts w:hint="default" w:ascii="Times New Roman" w:hAnsi="Times New Roman" w:cs="Times New Roman"/>
        </w:rPr>
        <w:t>表2.4.2-1 主要设备一览表</w:t>
      </w:r>
    </w:p>
    <w:tbl>
      <w:tblPr>
        <w:tblStyle w:val="25"/>
        <w:tblW w:w="92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8"/>
        <w:gridCol w:w="1423"/>
        <w:gridCol w:w="7"/>
        <w:gridCol w:w="1610"/>
        <w:gridCol w:w="1064"/>
        <w:gridCol w:w="1097"/>
        <w:gridCol w:w="1097"/>
        <w:gridCol w:w="1097"/>
        <w:gridCol w:w="10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序号</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名称</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规格</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数量</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材质</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操作温度（℃）</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操作压力（MPa）</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一</w:t>
            </w:r>
          </w:p>
        </w:tc>
        <w:tc>
          <w:tcPr>
            <w:tcW w:w="8492"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101生产车间一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PP反应釜</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L6000</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7</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PP真空机组</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280型-7.5kW</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3</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减速机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BLB220-17-5.5kW</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7</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4</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电子秤</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2吨</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5</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PP过滤器</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1mx1m</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6</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母液槽</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17m</w:t>
            </w:r>
            <w:r>
              <w:rPr>
                <w:rFonts w:hint="default" w:ascii="Times New Roman" w:hAnsi="Times New Roman" w:eastAsia="宋体" w:cs="Times New Roman"/>
                <w:bCs/>
                <w:kern w:val="0"/>
                <w:sz w:val="21"/>
                <w:szCs w:val="21"/>
                <w:vertAlign w:val="superscript"/>
              </w:rPr>
              <w:t>3</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4</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7</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电动葫芦</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2吨</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8</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PP引风机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ZYF-400</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9</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隔膜泵</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QBY3-50</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10</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砂浆泵</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50-32</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11</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离心机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PS1000型</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12</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母液槽</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3m</w:t>
            </w:r>
            <w:r>
              <w:rPr>
                <w:rFonts w:hint="default" w:ascii="Times New Roman" w:hAnsi="Times New Roman" w:eastAsia="宋体" w:cs="Times New Roman"/>
                <w:bCs/>
                <w:kern w:val="0"/>
                <w:sz w:val="21"/>
                <w:szCs w:val="21"/>
                <w:vertAlign w:val="superscript"/>
              </w:rPr>
              <w:t>3</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卧式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13</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高位槽</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3m</w:t>
            </w:r>
            <w:r>
              <w:rPr>
                <w:rFonts w:hint="default" w:ascii="Times New Roman" w:hAnsi="Times New Roman" w:eastAsia="宋体" w:cs="Times New Roman"/>
                <w:bCs/>
                <w:kern w:val="0"/>
                <w:sz w:val="21"/>
                <w:szCs w:val="21"/>
                <w:vertAlign w:val="superscript"/>
              </w:rPr>
              <w:t>3</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3</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二</w:t>
            </w:r>
          </w:p>
        </w:tc>
        <w:tc>
          <w:tcPr>
            <w:tcW w:w="8492" w:type="dxa"/>
            <w:gridSpan w:val="8"/>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102生产车间二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PP反应釜</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L6000</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9</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减速机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BLB220-17-5.5kW</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3</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电子秤</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2吨</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lang w:eastAsia="zh-CN"/>
              </w:rPr>
            </w:pPr>
            <w:r>
              <w:rPr>
                <w:rFonts w:hint="default" w:ascii="Times New Roman" w:hAnsi="Times New Roman" w:cs="Times New Roman"/>
                <w:bCs/>
                <w:kern w:val="0"/>
                <w:sz w:val="21"/>
                <w:szCs w:val="21"/>
                <w:lang w:val="en-US" w:eastAsia="zh-CN"/>
              </w:rPr>
              <w:t>4</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PP计量罐</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1800mm</w:t>
            </w:r>
            <w:r>
              <w:rPr>
                <w:rFonts w:hint="default" w:ascii="Times New Roman" w:hAnsi="Times New Roman" w:eastAsia="宋体" w:cs="Times New Roman"/>
                <w:bCs/>
                <w:kern w:val="0"/>
                <w:position w:val="-4"/>
                <w:sz w:val="21"/>
                <w:szCs w:val="21"/>
              </w:rPr>
              <w:object>
                <v:shape id="_x0000_i1039" o:spt="75" type="#_x0000_t75" style="height:10pt;width:9pt;" o:ole="t" filled="f" o:preferrelative="t" stroked="f" coordsize="21600,21600">
                  <v:path/>
                  <v:fill on="f" focussize="0,0"/>
                  <v:stroke on="f"/>
                  <v:imagedata r:id="rId46" o:title=""/>
                  <o:lock v:ext="edit" aspectratio="t"/>
                  <w10:wrap type="none"/>
                  <w10:anchorlock/>
                </v:shape>
                <o:OLEObject Type="Embed" ProgID="Equation.KSEE3" ShapeID="_x0000_i1039" DrawAspect="Content" ObjectID="_1468075739" r:id="rId45">
                  <o:LockedField>false</o:LockedField>
                </o:OLEObject>
              </w:object>
            </w:r>
            <w:r>
              <w:rPr>
                <w:rFonts w:hint="default" w:ascii="Times New Roman" w:hAnsi="Times New Roman" w:eastAsia="宋体" w:cs="Times New Roman"/>
                <w:bCs/>
                <w:kern w:val="0"/>
                <w:sz w:val="21"/>
                <w:szCs w:val="21"/>
              </w:rPr>
              <w:t>800mm</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3</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lang w:eastAsia="zh-CN"/>
              </w:rPr>
            </w:pPr>
            <w:r>
              <w:rPr>
                <w:rFonts w:hint="default" w:ascii="Times New Roman" w:hAnsi="Times New Roman" w:cs="Times New Roman"/>
                <w:bCs/>
                <w:kern w:val="0"/>
                <w:sz w:val="21"/>
                <w:szCs w:val="21"/>
                <w:lang w:val="en-US" w:eastAsia="zh-CN"/>
              </w:rPr>
              <w:t>5</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真空缓冲罐</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2000mm</w:t>
            </w:r>
            <w:r>
              <w:rPr>
                <w:rFonts w:hint="default" w:ascii="Times New Roman" w:hAnsi="Times New Roman" w:eastAsia="宋体" w:cs="Times New Roman"/>
                <w:bCs/>
                <w:kern w:val="0"/>
                <w:position w:val="-4"/>
                <w:sz w:val="21"/>
                <w:szCs w:val="21"/>
              </w:rPr>
              <w:object>
                <v:shape id="_x0000_i1040" o:spt="75" type="#_x0000_t75" style="height:10pt;width:9pt;" o:ole="t" filled="f" o:preferrelative="t" stroked="f" coordsize="21600,21600">
                  <v:path/>
                  <v:fill on="f" focussize="0,0"/>
                  <v:stroke on="f"/>
                  <v:imagedata r:id="rId46" o:title=""/>
                  <o:lock v:ext="edit" aspectratio="t"/>
                  <w10:wrap type="none"/>
                  <w10:anchorlock/>
                </v:shape>
                <o:OLEObject Type="Embed" ProgID="Equation.KSEE3" ShapeID="_x0000_i1040" DrawAspect="Content" ObjectID="_1468075740" r:id="rId47">
                  <o:LockedField>false</o:LockedField>
                </o:OLEObject>
              </w:object>
            </w:r>
            <w:r>
              <w:rPr>
                <w:rFonts w:hint="default" w:ascii="Times New Roman" w:hAnsi="Times New Roman" w:eastAsia="宋体" w:cs="Times New Roman"/>
                <w:bCs/>
                <w:kern w:val="0"/>
                <w:sz w:val="21"/>
                <w:szCs w:val="21"/>
              </w:rPr>
              <w:t>800mm</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4</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lang w:eastAsia="zh-CN"/>
              </w:rPr>
            </w:pPr>
            <w:r>
              <w:rPr>
                <w:rFonts w:hint="default" w:ascii="Times New Roman" w:hAnsi="Times New Roman" w:cs="Times New Roman"/>
                <w:bCs/>
                <w:kern w:val="0"/>
                <w:sz w:val="21"/>
                <w:szCs w:val="21"/>
                <w:lang w:val="en-US" w:eastAsia="zh-CN"/>
              </w:rPr>
              <w:t>6</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抽滤槽</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2000mm</w:t>
            </w:r>
            <w:r>
              <w:rPr>
                <w:rFonts w:hint="default" w:ascii="Times New Roman" w:hAnsi="Times New Roman" w:eastAsia="宋体" w:cs="Times New Roman"/>
                <w:bCs/>
                <w:kern w:val="0"/>
                <w:position w:val="-4"/>
                <w:sz w:val="21"/>
                <w:szCs w:val="21"/>
              </w:rPr>
              <w:object>
                <v:shape id="_x0000_i1041" o:spt="75" type="#_x0000_t75" style="height:10pt;width:9pt;" o:ole="t" filled="f" o:preferrelative="t" stroked="f" coordsize="21600,21600">
                  <v:path/>
                  <v:fill on="f" focussize="0,0"/>
                  <v:stroke on="f"/>
                  <v:imagedata r:id="rId46" o:title=""/>
                  <o:lock v:ext="edit" aspectratio="t"/>
                  <w10:wrap type="none"/>
                  <w10:anchorlock/>
                </v:shape>
                <o:OLEObject Type="Embed" ProgID="Equation.KSEE3" ShapeID="_x0000_i1041" DrawAspect="Content" ObjectID="_1468075741" r:id="rId48">
                  <o:LockedField>false</o:LockedField>
                </o:OLEObject>
              </w:object>
            </w:r>
            <w:r>
              <w:rPr>
                <w:rFonts w:hint="default" w:ascii="Times New Roman" w:hAnsi="Times New Roman" w:eastAsia="宋体" w:cs="Times New Roman"/>
                <w:bCs/>
                <w:kern w:val="0"/>
                <w:sz w:val="21"/>
                <w:szCs w:val="21"/>
              </w:rPr>
              <w:t>1000mm</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lang w:eastAsia="zh-CN"/>
              </w:rPr>
            </w:pPr>
            <w:r>
              <w:rPr>
                <w:rFonts w:hint="default" w:ascii="Times New Roman" w:hAnsi="Times New Roman" w:cs="Times New Roman"/>
                <w:bCs/>
                <w:kern w:val="0"/>
                <w:sz w:val="21"/>
                <w:szCs w:val="21"/>
                <w:lang w:val="en-US" w:eastAsia="zh-CN"/>
              </w:rPr>
              <w:t>7</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隔膜泵</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QBY3-50</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lang w:eastAsia="zh-CN"/>
              </w:rPr>
            </w:pPr>
            <w:r>
              <w:rPr>
                <w:rFonts w:hint="default" w:ascii="Times New Roman" w:hAnsi="Times New Roman" w:cs="Times New Roman"/>
                <w:bCs/>
                <w:kern w:val="0"/>
                <w:sz w:val="21"/>
                <w:szCs w:val="21"/>
                <w:lang w:val="en-US" w:eastAsia="zh-CN"/>
              </w:rPr>
              <w:t>8</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母液槽</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2000mm</w:t>
            </w:r>
            <w:r>
              <w:rPr>
                <w:rFonts w:hint="default" w:ascii="Times New Roman" w:hAnsi="Times New Roman" w:eastAsia="宋体" w:cs="Times New Roman"/>
                <w:bCs/>
                <w:kern w:val="0"/>
                <w:position w:val="-4"/>
                <w:sz w:val="21"/>
                <w:szCs w:val="21"/>
              </w:rPr>
              <w:object>
                <v:shape id="_x0000_i1042" o:spt="75" type="#_x0000_t75" style="height:10pt;width:9pt;" o:ole="t" filled="f" o:preferrelative="t" stroked="f" coordsize="21600,21600">
                  <v:path/>
                  <v:fill on="f" focussize="0,0"/>
                  <v:stroke on="f"/>
                  <v:imagedata r:id="rId46" o:title=""/>
                  <o:lock v:ext="edit" aspectratio="t"/>
                  <w10:wrap type="none"/>
                  <w10:anchorlock/>
                </v:shape>
                <o:OLEObject Type="Embed" ProgID="Equation.KSEE3" ShapeID="_x0000_i1042" DrawAspect="Content" ObjectID="_1468075742" r:id="rId49">
                  <o:LockedField>false</o:LockedField>
                </o:OLEObject>
              </w:object>
            </w:r>
            <w:r>
              <w:rPr>
                <w:rFonts w:hint="default" w:ascii="Times New Roman" w:hAnsi="Times New Roman" w:eastAsia="宋体" w:cs="Times New Roman"/>
                <w:bCs/>
                <w:kern w:val="0"/>
                <w:sz w:val="21"/>
                <w:szCs w:val="21"/>
              </w:rPr>
              <w:t>1000mm</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4</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氢氟酸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lang w:eastAsia="zh-CN"/>
              </w:rPr>
            </w:pPr>
            <w:r>
              <w:rPr>
                <w:rFonts w:hint="default" w:ascii="Times New Roman" w:hAnsi="Times New Roman" w:cs="Times New Roman"/>
                <w:bCs/>
                <w:kern w:val="0"/>
                <w:sz w:val="21"/>
                <w:szCs w:val="21"/>
                <w:lang w:val="en-US" w:eastAsia="zh-CN"/>
              </w:rPr>
              <w:t>9</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磁力驱动泵</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CSB50-32-125F</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cs="Times New Roman"/>
                <w:bCs/>
                <w:kern w:val="0"/>
                <w:sz w:val="21"/>
                <w:szCs w:val="21"/>
                <w:lang w:val="en-US" w:eastAsia="zh-CN"/>
              </w:rPr>
              <w:t>10</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冷干机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RAD-1/103</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cs="Times New Roman"/>
                <w:bCs/>
                <w:kern w:val="0"/>
                <w:sz w:val="21"/>
                <w:szCs w:val="21"/>
                <w:lang w:val="en-US" w:eastAsia="zh-CN"/>
              </w:rPr>
              <w:t>11</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PP引风机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800mm</w:t>
            </w:r>
            <w:r>
              <w:rPr>
                <w:rFonts w:hint="default" w:ascii="Times New Roman" w:hAnsi="Times New Roman" w:eastAsia="宋体" w:cs="Times New Roman"/>
                <w:bCs/>
                <w:kern w:val="0"/>
                <w:position w:val="-4"/>
                <w:sz w:val="21"/>
                <w:szCs w:val="21"/>
              </w:rPr>
              <w:object>
                <v:shape id="_x0000_i1043" o:spt="75" type="#_x0000_t75" style="height:10pt;width:9pt;" o:ole="t" filled="f" o:preferrelative="t" stroked="f" coordsize="21600,21600">
                  <v:path/>
                  <v:fill on="f" focussize="0,0"/>
                  <v:stroke on="f"/>
                  <v:imagedata r:id="rId46" o:title=""/>
                  <o:lock v:ext="edit" aspectratio="t"/>
                  <w10:wrap type="none"/>
                  <w10:anchorlock/>
                </v:shape>
                <o:OLEObject Type="Embed" ProgID="Equation.KSEE3" ShapeID="_x0000_i1043" DrawAspect="Content" ObjectID="_1468075743" r:id="rId50">
                  <o:LockedField>false</o:LockedField>
                </o:OLEObject>
              </w:object>
            </w:r>
            <w:r>
              <w:rPr>
                <w:rFonts w:hint="default" w:ascii="Times New Roman" w:hAnsi="Times New Roman" w:eastAsia="宋体" w:cs="Times New Roman"/>
                <w:bCs/>
                <w:kern w:val="0"/>
                <w:sz w:val="21"/>
                <w:szCs w:val="21"/>
              </w:rPr>
              <w:t>600mm</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cs="Times New Roman"/>
                <w:bCs/>
                <w:kern w:val="0"/>
                <w:sz w:val="21"/>
                <w:szCs w:val="21"/>
                <w:lang w:val="en-US" w:eastAsia="zh-CN"/>
              </w:rPr>
              <w:t>12</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离心机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PS1000型</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3</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lang w:val="en-US" w:eastAsia="zh-CN"/>
              </w:rPr>
            </w:pPr>
            <w:r>
              <w:rPr>
                <w:rFonts w:hint="default" w:ascii="Times New Roman" w:hAnsi="Times New Roman" w:cs="Times New Roman"/>
                <w:bCs/>
                <w:kern w:val="0"/>
                <w:sz w:val="21"/>
                <w:szCs w:val="21"/>
                <w:lang w:val="en-US" w:eastAsia="zh-CN"/>
              </w:rPr>
              <w:t>13</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成品罐</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vertAlign w:val="superscript"/>
              </w:rPr>
            </w:pPr>
            <w:r>
              <w:rPr>
                <w:rFonts w:hint="default" w:ascii="Times New Roman" w:hAnsi="Times New Roman" w:eastAsia="宋体" w:cs="Times New Roman"/>
                <w:bCs/>
                <w:kern w:val="0"/>
                <w:sz w:val="21"/>
                <w:szCs w:val="21"/>
              </w:rPr>
              <w:t>40m</w:t>
            </w:r>
            <w:r>
              <w:rPr>
                <w:rFonts w:hint="default" w:ascii="Times New Roman" w:hAnsi="Times New Roman" w:eastAsia="宋体" w:cs="Times New Roman"/>
                <w:bCs/>
                <w:kern w:val="0"/>
                <w:sz w:val="21"/>
                <w:szCs w:val="21"/>
                <w:vertAlign w:val="superscript"/>
              </w:rPr>
              <w:t>3</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氟硅酸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290" w:type="dxa"/>
            <w:gridSpan w:val="9"/>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104生产车间四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PP反应釜</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L6000</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2</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减速机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BLB220-17-5.5KW</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14</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3</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离心机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PS1000型</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组合件</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4</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真空缓冲罐</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2000mm*800mm</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5</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抽滤槽</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2000mm*1000mm</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3</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6</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加料机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105mm/2.2kw</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10</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组合件</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7</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PP计量槽</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2000mm*2000mm</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8</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304计量槽</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2500mm*1500mm</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9</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搪瓷反应釜</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L3000</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搪瓷</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10</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搪瓷反应釜</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L6000</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搪瓷</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11</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PP引风机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800mm*600mm</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组合件</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12</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压滤机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XMYG40/800-4K</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3</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组合件</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13</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加料机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IHF65-50-125</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组合件</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14</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烘箱</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2300mm*3200mm*2200mm</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3</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组合件</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15</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砂浆泵</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I-1B-2寸-3KW</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组合件</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16</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电动葫芦</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2吨</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组合件</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17</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母液槽</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5000mm*4000mm</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290" w:type="dxa"/>
            <w:gridSpan w:val="9"/>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105烘干车间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干燥机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SZG双锥回转真空干燥机</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不锈钢</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干燥机</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ZLG振动流化床干燥机</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不锈钢</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290" w:type="dxa"/>
            <w:gridSpan w:val="9"/>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201原料罐区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有水氢氟酸储罐</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卧罐，40m</w:t>
            </w:r>
            <w:r>
              <w:rPr>
                <w:rFonts w:hint="default" w:ascii="Times New Roman" w:hAnsi="Times New Roman" w:eastAsia="宋体" w:cs="Times New Roman"/>
                <w:bCs/>
                <w:kern w:val="0"/>
                <w:sz w:val="21"/>
                <w:szCs w:val="21"/>
                <w:vertAlign w:val="superscript"/>
              </w:rPr>
              <w:t>3</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氟硅酸储罐</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卧罐，40m</w:t>
            </w:r>
            <w:r>
              <w:rPr>
                <w:rFonts w:hint="default" w:ascii="Times New Roman" w:hAnsi="Times New Roman" w:eastAsia="宋体" w:cs="Times New Roman"/>
                <w:bCs/>
                <w:kern w:val="0"/>
                <w:sz w:val="21"/>
                <w:szCs w:val="21"/>
                <w:vertAlign w:val="superscript"/>
              </w:rPr>
              <w:t>3</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10</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290" w:type="dxa"/>
            <w:gridSpan w:val="9"/>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202成品罐区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43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氟硼酸储罐</w:t>
            </w:r>
          </w:p>
        </w:tc>
        <w:tc>
          <w:tcPr>
            <w:tcW w:w="1610"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立罐，25m</w:t>
            </w:r>
            <w:r>
              <w:rPr>
                <w:rFonts w:hint="default" w:ascii="Times New Roman" w:hAnsi="Times New Roman" w:eastAsia="宋体" w:cs="Times New Roman"/>
                <w:bCs/>
                <w:kern w:val="0"/>
                <w:sz w:val="21"/>
                <w:szCs w:val="21"/>
                <w:vertAlign w:val="superscript"/>
              </w:rPr>
              <w:t>3</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6</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PP</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常压</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33.6%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290" w:type="dxa"/>
            <w:gridSpan w:val="9"/>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公用工程设备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423"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变压器</w:t>
            </w:r>
          </w:p>
        </w:tc>
        <w:tc>
          <w:tcPr>
            <w:tcW w:w="161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S11-M-400</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组合件</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423"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柴油发电机组</w:t>
            </w:r>
          </w:p>
        </w:tc>
        <w:tc>
          <w:tcPr>
            <w:tcW w:w="161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75kW</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组合件</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3</w:t>
            </w:r>
          </w:p>
        </w:tc>
        <w:tc>
          <w:tcPr>
            <w:tcW w:w="1423"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消防</w:t>
            </w:r>
            <w:r>
              <w:rPr>
                <w:rFonts w:hint="eastAsia" w:cs="Times New Roman"/>
                <w:bCs/>
                <w:kern w:val="0"/>
                <w:sz w:val="21"/>
                <w:szCs w:val="21"/>
                <w:lang w:val="en-US" w:eastAsia="zh-CN"/>
              </w:rPr>
              <w:t>稳压</w:t>
            </w:r>
            <w:r>
              <w:rPr>
                <w:rFonts w:hint="default" w:ascii="Times New Roman" w:hAnsi="Times New Roman" w:eastAsia="宋体" w:cs="Times New Roman"/>
                <w:bCs/>
                <w:kern w:val="0"/>
                <w:sz w:val="21"/>
                <w:szCs w:val="21"/>
              </w:rPr>
              <w:t>泵</w:t>
            </w:r>
          </w:p>
        </w:tc>
        <w:tc>
          <w:tcPr>
            <w:tcW w:w="161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30m</w:t>
            </w:r>
            <w:r>
              <w:rPr>
                <w:rFonts w:hint="default" w:ascii="Times New Roman" w:hAnsi="Times New Roman" w:eastAsia="宋体" w:cs="Times New Roman"/>
                <w:bCs/>
                <w:kern w:val="0"/>
                <w:sz w:val="21"/>
                <w:szCs w:val="21"/>
                <w:vertAlign w:val="superscript"/>
              </w:rPr>
              <w:t>3</w:t>
            </w:r>
            <w:r>
              <w:rPr>
                <w:rFonts w:hint="default" w:ascii="Times New Roman" w:hAnsi="Times New Roman" w:eastAsia="宋体" w:cs="Times New Roman"/>
                <w:bCs/>
                <w:kern w:val="0"/>
                <w:sz w:val="21"/>
                <w:szCs w:val="21"/>
              </w:rPr>
              <w:t>/h（约合8.3L/s），15kW</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组合件</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一备一用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4</w:t>
            </w:r>
          </w:p>
        </w:tc>
        <w:tc>
          <w:tcPr>
            <w:tcW w:w="1423"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潜水</w:t>
            </w:r>
            <w:r>
              <w:rPr>
                <w:rFonts w:hint="eastAsia" w:cs="Times New Roman"/>
                <w:bCs/>
                <w:kern w:val="0"/>
                <w:sz w:val="21"/>
                <w:szCs w:val="21"/>
                <w:lang w:val="en-US" w:eastAsia="zh-CN"/>
              </w:rPr>
              <w:t>消防</w:t>
            </w:r>
            <w:r>
              <w:rPr>
                <w:rFonts w:hint="default" w:ascii="Times New Roman" w:hAnsi="Times New Roman" w:eastAsia="宋体" w:cs="Times New Roman"/>
                <w:bCs/>
                <w:kern w:val="0"/>
                <w:sz w:val="21"/>
                <w:szCs w:val="21"/>
              </w:rPr>
              <w:t>泵</w:t>
            </w:r>
          </w:p>
        </w:tc>
        <w:tc>
          <w:tcPr>
            <w:tcW w:w="161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100m</w:t>
            </w:r>
            <w:r>
              <w:rPr>
                <w:rFonts w:hint="default" w:ascii="Times New Roman" w:hAnsi="Times New Roman" w:eastAsia="宋体" w:cs="Times New Roman"/>
                <w:bCs/>
                <w:kern w:val="0"/>
                <w:sz w:val="21"/>
                <w:szCs w:val="21"/>
                <w:vertAlign w:val="superscript"/>
              </w:rPr>
              <w:t>3</w:t>
            </w:r>
            <w:r>
              <w:rPr>
                <w:rFonts w:hint="default" w:ascii="Times New Roman" w:hAnsi="Times New Roman" w:eastAsia="宋体" w:cs="Times New Roman"/>
                <w:bCs/>
                <w:kern w:val="0"/>
                <w:sz w:val="21"/>
                <w:szCs w:val="21"/>
              </w:rPr>
              <w:t>/h（约合27.8L/s），22kW</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组合件</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一备一用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5</w:t>
            </w:r>
          </w:p>
        </w:tc>
        <w:tc>
          <w:tcPr>
            <w:tcW w:w="1423"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循环水泵</w:t>
            </w:r>
          </w:p>
        </w:tc>
        <w:tc>
          <w:tcPr>
            <w:tcW w:w="161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100m</w:t>
            </w:r>
            <w:r>
              <w:rPr>
                <w:rFonts w:hint="default" w:ascii="Times New Roman" w:hAnsi="Times New Roman" w:eastAsia="宋体" w:cs="Times New Roman"/>
                <w:bCs/>
                <w:kern w:val="0"/>
                <w:sz w:val="21"/>
                <w:szCs w:val="21"/>
                <w:vertAlign w:val="superscript"/>
              </w:rPr>
              <w:t>3</w:t>
            </w:r>
            <w:r>
              <w:rPr>
                <w:rFonts w:hint="default" w:ascii="Times New Roman" w:hAnsi="Times New Roman" w:eastAsia="宋体" w:cs="Times New Roman"/>
                <w:bCs/>
                <w:kern w:val="0"/>
                <w:sz w:val="21"/>
                <w:szCs w:val="21"/>
              </w:rPr>
              <w:t>/h</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组合件</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6</w:t>
            </w:r>
          </w:p>
        </w:tc>
        <w:tc>
          <w:tcPr>
            <w:tcW w:w="1423"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冷却塔</w:t>
            </w:r>
          </w:p>
        </w:tc>
        <w:tc>
          <w:tcPr>
            <w:tcW w:w="161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200 m</w:t>
            </w:r>
            <w:r>
              <w:rPr>
                <w:rFonts w:hint="default" w:ascii="Times New Roman" w:hAnsi="Times New Roman" w:eastAsia="宋体" w:cs="Times New Roman"/>
                <w:bCs/>
                <w:kern w:val="0"/>
                <w:sz w:val="21"/>
                <w:szCs w:val="21"/>
                <w:vertAlign w:val="superscript"/>
              </w:rPr>
              <w:t>3</w:t>
            </w:r>
            <w:r>
              <w:rPr>
                <w:rFonts w:hint="default" w:ascii="Times New Roman" w:hAnsi="Times New Roman" w:eastAsia="宋体" w:cs="Times New Roman"/>
                <w:bCs/>
                <w:kern w:val="0"/>
                <w:sz w:val="21"/>
                <w:szCs w:val="21"/>
              </w:rPr>
              <w:t>/h</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组合件</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7</w:t>
            </w:r>
          </w:p>
        </w:tc>
        <w:tc>
          <w:tcPr>
            <w:tcW w:w="1423"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螺杆空气压缩机</w:t>
            </w:r>
          </w:p>
        </w:tc>
        <w:tc>
          <w:tcPr>
            <w:tcW w:w="161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LV15M/180747</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组合件</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排气压力0.8MPa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98"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eastAsia"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8</w:t>
            </w:r>
          </w:p>
        </w:tc>
        <w:tc>
          <w:tcPr>
            <w:tcW w:w="1423"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eastAsia"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空气储罐</w:t>
            </w:r>
          </w:p>
        </w:tc>
        <w:tc>
          <w:tcPr>
            <w:tcW w:w="161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1m</w:t>
            </w:r>
            <w:r>
              <w:rPr>
                <w:rFonts w:hint="eastAsia" w:cs="Times New Roman"/>
                <w:bCs/>
                <w:kern w:val="0"/>
                <w:sz w:val="21"/>
                <w:szCs w:val="21"/>
                <w:vertAlign w:val="superscript"/>
                <w:lang w:val="en-US" w:eastAsia="zh-CN"/>
              </w:rPr>
              <w:t>3</w:t>
            </w:r>
            <w:r>
              <w:rPr>
                <w:rFonts w:hint="eastAsia" w:cs="Times New Roman"/>
                <w:bCs/>
                <w:kern w:val="0"/>
                <w:sz w:val="21"/>
                <w:szCs w:val="21"/>
                <w:lang w:val="en-US" w:eastAsia="zh-CN"/>
              </w:rPr>
              <w:t>，0.8Mpa</w:t>
            </w:r>
          </w:p>
        </w:tc>
        <w:tc>
          <w:tcPr>
            <w:tcW w:w="1064"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lang w:val="en-US" w:eastAsia="zh-CN"/>
              </w:rPr>
            </w:pPr>
            <w:r>
              <w:rPr>
                <w:rFonts w:hint="eastAsia" w:cs="Times New Roman"/>
                <w:bCs/>
                <w:kern w:val="0"/>
                <w:sz w:val="21"/>
                <w:szCs w:val="21"/>
                <w:lang w:val="en-US" w:eastAsia="zh-CN"/>
              </w:rPr>
              <w:t>碳钢</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常温</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0.8M</w:t>
            </w:r>
            <w:r>
              <w:rPr>
                <w:rFonts w:hint="eastAsia" w:cs="Times New Roman"/>
                <w:bCs/>
                <w:kern w:val="0"/>
                <w:sz w:val="21"/>
                <w:szCs w:val="21"/>
                <w:lang w:val="en-US" w:eastAsia="zh-CN"/>
              </w:rPr>
              <w:t>p</w:t>
            </w:r>
            <w:r>
              <w:rPr>
                <w:rFonts w:hint="default" w:ascii="Times New Roman" w:hAnsi="Times New Roman" w:eastAsia="宋体" w:cs="Times New Roman"/>
                <w:bCs/>
                <w:kern w:val="0"/>
                <w:sz w:val="21"/>
                <w:szCs w:val="21"/>
              </w:rPr>
              <w:t>a</w:t>
            </w:r>
          </w:p>
        </w:tc>
        <w:tc>
          <w:tcPr>
            <w:tcW w:w="1097" w:type="dxa"/>
            <w:noWrap w:val="0"/>
            <w:vAlign w:val="center"/>
          </w:tcPr>
          <w:p>
            <w:pPr>
              <w:keepNext w:val="0"/>
              <w:keepLines w:val="0"/>
              <w:pageBreakBefore w:val="0"/>
              <w:widowControl w:val="0"/>
              <w:kinsoku/>
              <w:wordWrap/>
              <w:overflowPunct/>
              <w:topLinePunct w:val="0"/>
              <w:autoSpaceDE/>
              <w:autoSpaceDN/>
              <w:bidi w:val="0"/>
              <w:adjustRightInd/>
              <w:snapToGrid/>
              <w:spacing w:line="284" w:lineRule="exact"/>
              <w:jc w:val="center"/>
              <w:textAlignment w:val="auto"/>
              <w:rPr>
                <w:rFonts w:hint="default" w:ascii="Times New Roman" w:hAnsi="Times New Roman" w:eastAsia="宋体" w:cs="Times New Roman"/>
                <w:bCs/>
                <w:kern w:val="0"/>
                <w:sz w:val="21"/>
                <w:szCs w:val="21"/>
              </w:rPr>
            </w:pPr>
          </w:p>
        </w:tc>
      </w:tr>
    </w:tbl>
    <w:p>
      <w:pPr>
        <w:rPr>
          <w:rFonts w:hint="default" w:ascii="Times New Roman" w:hAnsi="Times New Roman" w:cs="Times New Roman"/>
          <w:sz w:val="21"/>
          <w:szCs w:val="21"/>
          <w:lang w:val="en-US" w:eastAsia="zh-CN"/>
        </w:rPr>
      </w:pPr>
      <w:r>
        <w:rPr>
          <w:rFonts w:hint="eastAsia" w:cs="Times New Roman"/>
          <w:sz w:val="21"/>
          <w:szCs w:val="21"/>
          <w:lang w:val="en-US" w:eastAsia="zh-CN"/>
        </w:rPr>
        <w:t>注：该公司同车间内的产品工艺路线类似，均可套用。</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二</w:t>
      </w:r>
      <w:r>
        <w:rPr>
          <w:rFonts w:hint="default" w:ascii="Times New Roman" w:hAnsi="Times New Roman" w:cs="Times New Roman"/>
        </w:rPr>
        <w:t>、特种设备</w:t>
      </w:r>
    </w:p>
    <w:p>
      <w:pPr>
        <w:ind w:firstLine="560" w:firstLineChars="200"/>
        <w:rPr>
          <w:rFonts w:hint="default" w:ascii="Times New Roman" w:hAnsi="Times New Roman" w:cs="Times New Roman"/>
        </w:rPr>
      </w:pPr>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rPr>
        <w:t>涉及的主要特种设备包括</w:t>
      </w:r>
      <w:r>
        <w:rPr>
          <w:rFonts w:hint="default" w:ascii="Times New Roman" w:hAnsi="Times New Roman" w:cs="Times New Roman"/>
          <w:lang w:val="en-US" w:eastAsia="zh-CN"/>
        </w:rPr>
        <w:t>叉车</w:t>
      </w:r>
      <w:r>
        <w:rPr>
          <w:rFonts w:hint="default" w:ascii="Times New Roman" w:hAnsi="Times New Roman" w:cs="Times New Roman"/>
        </w:rPr>
        <w:t>、</w:t>
      </w:r>
      <w:r>
        <w:rPr>
          <w:rFonts w:hint="default" w:ascii="Times New Roman" w:hAnsi="Times New Roman" w:cs="Times New Roman"/>
          <w:lang w:val="en-US" w:eastAsia="zh-CN"/>
        </w:rPr>
        <w:t>储气罐</w:t>
      </w:r>
      <w:r>
        <w:rPr>
          <w:rFonts w:hint="default" w:ascii="Times New Roman" w:hAnsi="Times New Roman" w:cs="Times New Roman"/>
        </w:rPr>
        <w:t>等。具体见下表。</w:t>
      </w:r>
    </w:p>
    <w:p>
      <w:pPr>
        <w:ind w:firstLine="560" w:firstLineChars="200"/>
        <w:jc w:val="center"/>
        <w:rPr>
          <w:rFonts w:hint="default" w:ascii="Times New Roman" w:hAnsi="Times New Roman" w:cs="Times New Roman"/>
        </w:rPr>
      </w:pPr>
      <w:r>
        <w:rPr>
          <w:rFonts w:hint="default" w:ascii="Times New Roman" w:hAnsi="Times New Roman" w:cs="Times New Roman"/>
        </w:rPr>
        <w:t>表2.4.2-3特种设备一览表</w:t>
      </w:r>
    </w:p>
    <w:tbl>
      <w:tblPr>
        <w:tblStyle w:val="25"/>
        <w:tblW w:w="9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261"/>
        <w:gridCol w:w="2559"/>
        <w:gridCol w:w="994"/>
        <w:gridCol w:w="1255"/>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3" w:type="dxa"/>
            <w:noWrap w:val="0"/>
            <w:vAlign w:val="center"/>
          </w:tcPr>
          <w:p>
            <w:pPr>
              <w:pStyle w:val="86"/>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2261" w:type="dxa"/>
            <w:noWrap w:val="0"/>
            <w:vAlign w:val="center"/>
          </w:tcPr>
          <w:p>
            <w:pPr>
              <w:pStyle w:val="86"/>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设备名称</w:t>
            </w:r>
          </w:p>
        </w:tc>
        <w:tc>
          <w:tcPr>
            <w:tcW w:w="2559" w:type="dxa"/>
            <w:noWrap w:val="0"/>
            <w:vAlign w:val="center"/>
          </w:tcPr>
          <w:p>
            <w:pPr>
              <w:pStyle w:val="86"/>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规格</w:t>
            </w:r>
          </w:p>
        </w:tc>
        <w:tc>
          <w:tcPr>
            <w:tcW w:w="994" w:type="dxa"/>
            <w:noWrap w:val="0"/>
            <w:vAlign w:val="center"/>
          </w:tcPr>
          <w:p>
            <w:pPr>
              <w:pStyle w:val="86"/>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数量</w:t>
            </w:r>
          </w:p>
        </w:tc>
        <w:tc>
          <w:tcPr>
            <w:tcW w:w="1255" w:type="dxa"/>
            <w:noWrap w:val="0"/>
            <w:vAlign w:val="center"/>
          </w:tcPr>
          <w:p>
            <w:pPr>
              <w:pStyle w:val="86"/>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单位</w:t>
            </w:r>
          </w:p>
        </w:tc>
        <w:tc>
          <w:tcPr>
            <w:tcW w:w="1501" w:type="dxa"/>
            <w:noWrap w:val="0"/>
            <w:vAlign w:val="center"/>
          </w:tcPr>
          <w:p>
            <w:pPr>
              <w:pStyle w:val="86"/>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3" w:type="dxa"/>
            <w:noWrap w:val="0"/>
            <w:vAlign w:val="center"/>
          </w:tcPr>
          <w:p>
            <w:pPr>
              <w:pStyle w:val="86"/>
              <w:spacing w:line="240" w:lineRule="auto"/>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1</w:t>
            </w:r>
          </w:p>
        </w:tc>
        <w:tc>
          <w:tcPr>
            <w:tcW w:w="2261" w:type="dxa"/>
            <w:noWrap w:val="0"/>
            <w:vAlign w:val="center"/>
          </w:tcPr>
          <w:p>
            <w:pPr>
              <w:autoSpaceDN w:val="0"/>
              <w:spacing w:line="240" w:lineRule="auto"/>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叉车</w:t>
            </w:r>
          </w:p>
        </w:tc>
        <w:tc>
          <w:tcPr>
            <w:tcW w:w="2559" w:type="dxa"/>
            <w:noWrap w:val="0"/>
            <w:vAlign w:val="center"/>
          </w:tcPr>
          <w:p>
            <w:pPr>
              <w:autoSpaceDN w:val="0"/>
              <w:spacing w:line="240" w:lineRule="auto"/>
              <w:ind w:firstLine="105" w:firstLineChars="5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2T</w:t>
            </w:r>
          </w:p>
        </w:tc>
        <w:tc>
          <w:tcPr>
            <w:tcW w:w="994" w:type="dxa"/>
            <w:noWrap w:val="0"/>
            <w:vAlign w:val="center"/>
          </w:tcPr>
          <w:p>
            <w:pPr>
              <w:autoSpaceDN w:val="0"/>
              <w:spacing w:line="240" w:lineRule="auto"/>
              <w:jc w:val="center"/>
              <w:textAlignment w:val="center"/>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lang w:val="en-US" w:eastAsia="zh-CN"/>
              </w:rPr>
              <w:t>2</w:t>
            </w:r>
          </w:p>
        </w:tc>
        <w:tc>
          <w:tcPr>
            <w:tcW w:w="1255" w:type="dxa"/>
            <w:noWrap w:val="0"/>
            <w:vAlign w:val="center"/>
          </w:tcPr>
          <w:p>
            <w:pPr>
              <w:pStyle w:val="86"/>
              <w:spacing w:line="240" w:lineRule="auto"/>
              <w:jc w:val="center"/>
              <w:textAlignment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台</w:t>
            </w:r>
          </w:p>
        </w:tc>
        <w:tc>
          <w:tcPr>
            <w:tcW w:w="1501" w:type="dxa"/>
            <w:noWrap w:val="0"/>
            <w:vAlign w:val="center"/>
          </w:tcPr>
          <w:p>
            <w:pPr>
              <w:pStyle w:val="86"/>
              <w:spacing w:line="240" w:lineRule="auto"/>
              <w:jc w:val="center"/>
              <w:textAlignment w:val="center"/>
              <w:rPr>
                <w:rFonts w:hint="default" w:ascii="Times New Roman" w:hAnsi="Times New Roman" w:eastAsia="宋体" w:cs="Times New Roman"/>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3" w:type="dxa"/>
            <w:noWrap w:val="0"/>
            <w:vAlign w:val="center"/>
          </w:tcPr>
          <w:p>
            <w:pPr>
              <w:pStyle w:val="86"/>
              <w:spacing w:line="24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2</w:t>
            </w:r>
          </w:p>
        </w:tc>
        <w:tc>
          <w:tcPr>
            <w:tcW w:w="2261" w:type="dxa"/>
            <w:noWrap w:val="0"/>
            <w:vAlign w:val="center"/>
          </w:tcPr>
          <w:p>
            <w:pPr>
              <w:autoSpaceDN w:val="0"/>
              <w:spacing w:line="240" w:lineRule="auto"/>
              <w:jc w:val="center"/>
              <w:textAlignment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空气储罐</w:t>
            </w:r>
          </w:p>
        </w:tc>
        <w:tc>
          <w:tcPr>
            <w:tcW w:w="2559" w:type="dxa"/>
            <w:noWrap w:val="0"/>
            <w:vAlign w:val="center"/>
          </w:tcPr>
          <w:p>
            <w:pPr>
              <w:autoSpaceDN w:val="0"/>
              <w:spacing w:line="240" w:lineRule="auto"/>
              <w:ind w:firstLine="105" w:firstLineChars="50"/>
              <w:jc w:val="center"/>
              <w:textAlignment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1m</w:t>
            </w:r>
            <w:r>
              <w:rPr>
                <w:rFonts w:hint="eastAsia" w:cs="Times New Roman"/>
                <w:kern w:val="0"/>
                <w:sz w:val="21"/>
                <w:szCs w:val="21"/>
                <w:vertAlign w:val="superscript"/>
                <w:lang w:val="en-US" w:eastAsia="zh-CN"/>
              </w:rPr>
              <w:t>3</w:t>
            </w:r>
            <w:r>
              <w:rPr>
                <w:rFonts w:hint="eastAsia" w:cs="Times New Roman"/>
                <w:kern w:val="0"/>
                <w:sz w:val="21"/>
                <w:szCs w:val="21"/>
                <w:lang w:val="en-US" w:eastAsia="zh-CN"/>
              </w:rPr>
              <w:t>，0.8Mpa</w:t>
            </w:r>
          </w:p>
        </w:tc>
        <w:tc>
          <w:tcPr>
            <w:tcW w:w="994" w:type="dxa"/>
            <w:noWrap w:val="0"/>
            <w:vAlign w:val="center"/>
          </w:tcPr>
          <w:p>
            <w:pPr>
              <w:autoSpaceDN w:val="0"/>
              <w:spacing w:line="240" w:lineRule="auto"/>
              <w:jc w:val="center"/>
              <w:textAlignment w:val="center"/>
              <w:rPr>
                <w:rFonts w:hint="default" w:ascii="Times New Roman" w:hAnsi="Times New Roman" w:cs="Times New Roman"/>
                <w:kern w:val="0"/>
                <w:sz w:val="21"/>
                <w:szCs w:val="21"/>
                <w:lang w:val="en-US" w:eastAsia="zh-CN"/>
              </w:rPr>
            </w:pPr>
            <w:r>
              <w:rPr>
                <w:rFonts w:hint="eastAsia" w:cs="Times New Roman"/>
                <w:kern w:val="0"/>
                <w:sz w:val="21"/>
                <w:szCs w:val="21"/>
                <w:lang w:val="en-US" w:eastAsia="zh-CN"/>
              </w:rPr>
              <w:t>1</w:t>
            </w:r>
          </w:p>
        </w:tc>
        <w:tc>
          <w:tcPr>
            <w:tcW w:w="1255" w:type="dxa"/>
            <w:noWrap w:val="0"/>
            <w:vAlign w:val="center"/>
          </w:tcPr>
          <w:p>
            <w:pPr>
              <w:pStyle w:val="86"/>
              <w:spacing w:line="240" w:lineRule="auto"/>
              <w:jc w:val="center"/>
              <w:textAlignment w:val="center"/>
              <w:rPr>
                <w:rFonts w:hint="default" w:ascii="Times New Roman" w:hAnsi="Times New Roman" w:eastAsia="宋体" w:cs="Times New Roman"/>
                <w:kern w:val="2"/>
                <w:szCs w:val="21"/>
              </w:rPr>
            </w:pPr>
            <w:r>
              <w:rPr>
                <w:rFonts w:hint="default" w:ascii="Times New Roman" w:hAnsi="Times New Roman" w:eastAsia="宋体" w:cs="Times New Roman"/>
                <w:kern w:val="2"/>
                <w:szCs w:val="21"/>
              </w:rPr>
              <w:t>台</w:t>
            </w:r>
          </w:p>
        </w:tc>
        <w:tc>
          <w:tcPr>
            <w:tcW w:w="1501" w:type="dxa"/>
            <w:noWrap w:val="0"/>
            <w:vAlign w:val="center"/>
          </w:tcPr>
          <w:p>
            <w:pPr>
              <w:pStyle w:val="86"/>
              <w:spacing w:line="240" w:lineRule="auto"/>
              <w:jc w:val="center"/>
              <w:textAlignment w:val="center"/>
              <w:rPr>
                <w:rFonts w:hint="default" w:ascii="Times New Roman" w:hAnsi="Times New Roman" w:eastAsia="宋体" w:cs="Times New Roman"/>
                <w:kern w:val="2"/>
                <w:szCs w:val="21"/>
              </w:rPr>
            </w:pPr>
          </w:p>
        </w:tc>
      </w:tr>
    </w:tbl>
    <w:p>
      <w:pPr>
        <w:ind w:firstLine="560" w:firstLineChars="200"/>
        <w:rPr>
          <w:rFonts w:hint="default" w:ascii="Times New Roman" w:hAnsi="Times New Roman" w:cs="Times New Roman"/>
          <w:lang w:val="en-US" w:eastAsia="zh-CN"/>
        </w:rPr>
      </w:pPr>
      <w:r>
        <w:rPr>
          <w:rFonts w:hint="default" w:ascii="Times New Roman" w:hAnsi="Times New Roman" w:cs="Times New Roman"/>
        </w:rPr>
        <w:t>特种设备检测报告</w:t>
      </w:r>
      <w:r>
        <w:rPr>
          <w:rFonts w:hint="default" w:ascii="Times New Roman" w:hAnsi="Times New Roman" w:cs="Times New Roman"/>
          <w:lang w:eastAsia="zh-CN"/>
        </w:rPr>
        <w:t>和登记证</w:t>
      </w:r>
      <w:r>
        <w:rPr>
          <w:rFonts w:hint="default" w:ascii="Times New Roman" w:hAnsi="Times New Roman" w:cs="Times New Roman"/>
        </w:rPr>
        <w:t>详见附件</w:t>
      </w:r>
      <w:r>
        <w:rPr>
          <w:rFonts w:hint="default" w:ascii="Times New Roman" w:hAnsi="Times New Roman" w:cs="Times New Roman"/>
          <w:lang w:eastAsia="zh-CN"/>
        </w:rPr>
        <w:t>，</w:t>
      </w:r>
      <w:r>
        <w:rPr>
          <w:rFonts w:hint="default" w:ascii="Times New Roman" w:hAnsi="Times New Roman" w:cs="Times New Roman"/>
          <w:lang w:val="en-US" w:eastAsia="zh-CN"/>
        </w:rPr>
        <w:t>空气储罐等简易式压力容器未列入。</w:t>
      </w:r>
    </w:p>
    <w:p>
      <w:pPr>
        <w:pStyle w:val="5"/>
        <w:keepLines/>
        <w:spacing w:line="360" w:lineRule="auto"/>
        <w:ind w:left="0" w:leftChars="0"/>
        <w:jc w:val="both"/>
        <w:rPr>
          <w:rFonts w:hint="default" w:ascii="Times New Roman" w:hAnsi="Times New Roman" w:eastAsia="宋体" w:cs="Times New Roman"/>
          <w:b/>
          <w:bCs/>
        </w:rPr>
      </w:pPr>
      <w:r>
        <w:rPr>
          <w:rFonts w:hint="default" w:ascii="Times New Roman" w:hAnsi="Times New Roman" w:cs="Times New Roman"/>
          <w:lang w:val="en-US" w:eastAsia="zh-CN"/>
        </w:rPr>
        <w:t>2.3.3</w:t>
      </w:r>
      <w:r>
        <w:rPr>
          <w:rFonts w:hint="default" w:ascii="Times New Roman" w:hAnsi="Times New Roman" w:eastAsia="宋体" w:cs="Times New Roman"/>
          <w:b/>
          <w:bCs/>
        </w:rPr>
        <w:t>主要产品、原材料情况</w:t>
      </w:r>
    </w:p>
    <w:p>
      <w:pPr>
        <w:numPr>
          <w:ilvl w:val="0"/>
          <w:numId w:val="6"/>
        </w:num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产品质量指标：</w:t>
      </w:r>
    </w:p>
    <w:p>
      <w:pPr>
        <w:numPr>
          <w:ilvl w:val="0"/>
          <w:numId w:val="7"/>
        </w:num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氟硅酸</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5"/>
        <w:gridCol w:w="1146"/>
        <w:gridCol w:w="1542"/>
        <w:gridCol w:w="1542"/>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200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指标名称</w:t>
            </w:r>
          </w:p>
        </w:tc>
        <w:tc>
          <w:tcPr>
            <w:tcW w:w="617"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特级</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特一级</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特二级</w:t>
            </w:r>
          </w:p>
        </w:tc>
        <w:tc>
          <w:tcPr>
            <w:tcW w:w="72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trPr>
        <w:tc>
          <w:tcPr>
            <w:tcW w:w="200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外观</w:t>
            </w:r>
          </w:p>
        </w:tc>
        <w:tc>
          <w:tcPr>
            <w:tcW w:w="3000" w:type="pct"/>
            <w:gridSpan w:val="4"/>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无色透明液体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00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氟硅酸(H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SiF</w:t>
            </w:r>
            <w:r>
              <w:rPr>
                <w:rFonts w:hint="default" w:ascii="Times New Roman" w:hAnsi="Times New Roman" w:cs="Times New Roman"/>
                <w:sz w:val="21"/>
                <w:szCs w:val="21"/>
                <w:vertAlign w:val="subscript"/>
              </w:rPr>
              <w:t>6</w:t>
            </w:r>
            <w:r>
              <w:rPr>
                <w:rFonts w:hint="default" w:ascii="Times New Roman" w:hAnsi="Times New Roman" w:cs="Times New Roman"/>
                <w:sz w:val="21"/>
                <w:szCs w:val="21"/>
              </w:rPr>
              <w:t>),%≥</w:t>
            </w:r>
          </w:p>
        </w:tc>
        <w:tc>
          <w:tcPr>
            <w:tcW w:w="617"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50.0</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45.0</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40.0</w:t>
            </w:r>
          </w:p>
        </w:tc>
        <w:tc>
          <w:tcPr>
            <w:tcW w:w="72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00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游离酸(HF),%≤</w:t>
            </w:r>
          </w:p>
        </w:tc>
        <w:tc>
          <w:tcPr>
            <w:tcW w:w="617"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0.6</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0.6</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0.5</w:t>
            </w:r>
          </w:p>
        </w:tc>
        <w:tc>
          <w:tcPr>
            <w:tcW w:w="72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00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硫酸盐（SO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w:t>
            </w:r>
          </w:p>
        </w:tc>
        <w:tc>
          <w:tcPr>
            <w:tcW w:w="617"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0.15</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0.15</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0.15</w:t>
            </w:r>
          </w:p>
        </w:tc>
        <w:tc>
          <w:tcPr>
            <w:tcW w:w="72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00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重金属（Pb）,%≤</w:t>
            </w:r>
          </w:p>
        </w:tc>
        <w:tc>
          <w:tcPr>
            <w:tcW w:w="617"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72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0.020</w:t>
            </w:r>
          </w:p>
        </w:tc>
      </w:tr>
    </w:tbl>
    <w:p>
      <w:pPr>
        <w:numPr>
          <w:ilvl w:val="0"/>
          <w:numId w:val="7"/>
        </w:numPr>
        <w:bidi w:val="0"/>
        <w:ind w:left="0" w:leftChars="0"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氟硅酸钾</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3"/>
        <w:gridCol w:w="1033"/>
        <w:gridCol w:w="3461"/>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202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指标名称</w:t>
            </w:r>
          </w:p>
        </w:tc>
        <w:tc>
          <w:tcPr>
            <w:tcW w:w="55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w:t>
            </w:r>
          </w:p>
        </w:tc>
        <w:tc>
          <w:tcPr>
            <w:tcW w:w="186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指标名称</w:t>
            </w:r>
          </w:p>
        </w:tc>
        <w:tc>
          <w:tcPr>
            <w:tcW w:w="55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202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氟硅酸钾(K2SiF6),%  ≥</w:t>
            </w:r>
          </w:p>
        </w:tc>
        <w:tc>
          <w:tcPr>
            <w:tcW w:w="55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99.0</w:t>
            </w:r>
          </w:p>
        </w:tc>
        <w:tc>
          <w:tcPr>
            <w:tcW w:w="186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水份，％≤    </w:t>
            </w:r>
          </w:p>
        </w:tc>
        <w:tc>
          <w:tcPr>
            <w:tcW w:w="55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02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铁(Fe)，％      ≤</w:t>
            </w:r>
          </w:p>
        </w:tc>
        <w:tc>
          <w:tcPr>
            <w:tcW w:w="55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w:t>
            </w:r>
          </w:p>
        </w:tc>
        <w:tc>
          <w:tcPr>
            <w:tcW w:w="186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氯化物(以Cl计),%  ≤</w:t>
            </w:r>
          </w:p>
        </w:tc>
        <w:tc>
          <w:tcPr>
            <w:tcW w:w="55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02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游离酸(以H2SiF6计),%≤</w:t>
            </w:r>
          </w:p>
        </w:tc>
        <w:tc>
          <w:tcPr>
            <w:tcW w:w="55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w:t>
            </w:r>
          </w:p>
        </w:tc>
        <w:tc>
          <w:tcPr>
            <w:tcW w:w="186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五氧化二磷(P2O5),%≤</w:t>
            </w:r>
          </w:p>
        </w:tc>
        <w:tc>
          <w:tcPr>
            <w:tcW w:w="55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202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重金属(以Pb计),%    ≤</w:t>
            </w:r>
          </w:p>
        </w:tc>
        <w:tc>
          <w:tcPr>
            <w:tcW w:w="55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186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细度（80目），％≥</w:t>
            </w:r>
          </w:p>
        </w:tc>
        <w:tc>
          <w:tcPr>
            <w:tcW w:w="55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202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硫酸根(以SO4计),%   ≤</w:t>
            </w:r>
          </w:p>
        </w:tc>
        <w:tc>
          <w:tcPr>
            <w:tcW w:w="55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w:t>
            </w:r>
          </w:p>
        </w:tc>
        <w:tc>
          <w:tcPr>
            <w:tcW w:w="186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水不溶物，％      ≤</w:t>
            </w:r>
          </w:p>
        </w:tc>
        <w:tc>
          <w:tcPr>
            <w:tcW w:w="556"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r>
    </w:tbl>
    <w:p>
      <w:pPr>
        <w:numPr>
          <w:ilvl w:val="0"/>
          <w:numId w:val="7"/>
        </w:numPr>
        <w:bidi w:val="0"/>
        <w:ind w:left="0" w:leftChars="0"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氟硅酸锌</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1"/>
        <w:gridCol w:w="921"/>
        <w:gridCol w:w="3385"/>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18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指标名称   </w:t>
            </w:r>
          </w:p>
        </w:tc>
        <w:tc>
          <w:tcPr>
            <w:tcW w:w="49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指标   </w:t>
            </w:r>
          </w:p>
        </w:tc>
        <w:tc>
          <w:tcPr>
            <w:tcW w:w="182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指标名称   </w:t>
            </w:r>
          </w:p>
        </w:tc>
        <w:tc>
          <w:tcPr>
            <w:tcW w:w="49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指标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218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氟硅酸锌（六水），％≥</w:t>
            </w:r>
          </w:p>
        </w:tc>
        <w:tc>
          <w:tcPr>
            <w:tcW w:w="49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w:t>
            </w:r>
          </w:p>
        </w:tc>
        <w:tc>
          <w:tcPr>
            <w:tcW w:w="182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硫酸锌ZnSO4.7H2O,%≤</w:t>
            </w:r>
          </w:p>
        </w:tc>
        <w:tc>
          <w:tcPr>
            <w:tcW w:w="49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186"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水不溶物ZnF6、SiO2等,%≤</w:t>
            </w:r>
          </w:p>
        </w:tc>
        <w:tc>
          <w:tcPr>
            <w:tcW w:w="496"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0.25</w:t>
            </w:r>
          </w:p>
        </w:tc>
        <w:tc>
          <w:tcPr>
            <w:tcW w:w="1822"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水份，％≤   </w:t>
            </w:r>
          </w:p>
        </w:tc>
        <w:tc>
          <w:tcPr>
            <w:tcW w:w="496"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r>
    </w:tbl>
    <w:p>
      <w:pPr>
        <w:numPr>
          <w:ilvl w:val="0"/>
          <w:numId w:val="7"/>
        </w:numPr>
        <w:bidi w:val="0"/>
        <w:ind w:left="0" w:leftChars="0"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氟硅酸钡</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1"/>
        <w:gridCol w:w="3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209" w:type="pct"/>
            <w:tcBorders>
              <w:top w:val="single" w:color="auto" w:sz="4" w:space="0"/>
              <w:left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 标 名 称  </w:t>
            </w:r>
          </w:p>
        </w:tc>
        <w:tc>
          <w:tcPr>
            <w:tcW w:w="1791" w:type="pct"/>
            <w:tcBorders>
              <w:top w:val="single" w:color="auto" w:sz="4" w:space="0"/>
              <w:bottom w:val="single" w:color="auto" w:sz="4" w:space="0"/>
              <w:right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    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7" w:hRule="atLeast"/>
        </w:trPr>
        <w:tc>
          <w:tcPr>
            <w:tcW w:w="3209" w:type="pct"/>
            <w:tcBorders>
              <w:left w:val="single" w:color="auto" w:sz="4" w:space="0"/>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氟硅酸钡(BaSiF6)含量，％ ≥</w:t>
            </w:r>
          </w:p>
        </w:tc>
        <w:tc>
          <w:tcPr>
            <w:tcW w:w="1791" w:type="pct"/>
            <w:tcBorders>
              <w:bottom w:val="single" w:color="auto" w:sz="4" w:space="0"/>
              <w:right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trPr>
        <w:tc>
          <w:tcPr>
            <w:tcW w:w="3209" w:type="pct"/>
            <w:tcBorders>
              <w:left w:val="single" w:color="auto" w:sz="4" w:space="0"/>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水份，％          ≤</w:t>
            </w:r>
          </w:p>
        </w:tc>
        <w:tc>
          <w:tcPr>
            <w:tcW w:w="1791" w:type="pct"/>
            <w:tcBorders>
              <w:bottom w:val="single" w:color="auto" w:sz="4" w:space="0"/>
              <w:right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trPr>
        <w:tc>
          <w:tcPr>
            <w:tcW w:w="3209" w:type="pct"/>
            <w:tcBorders>
              <w:left w:val="single" w:color="auto" w:sz="4" w:space="0"/>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外观   </w:t>
            </w:r>
          </w:p>
        </w:tc>
        <w:tc>
          <w:tcPr>
            <w:tcW w:w="1791" w:type="pct"/>
            <w:tcBorders>
              <w:bottom w:val="single" w:color="auto" w:sz="4" w:space="0"/>
              <w:right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白色结晶粉末</w:t>
            </w:r>
          </w:p>
        </w:tc>
      </w:tr>
    </w:tbl>
    <w:p>
      <w:pPr>
        <w:numPr>
          <w:ilvl w:val="0"/>
          <w:numId w:val="0"/>
        </w:numPr>
        <w:bidi w:val="0"/>
        <w:ind w:leftChars="0"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5）氟硅酸镁</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5"/>
        <w:gridCol w:w="2103"/>
        <w:gridCol w:w="2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226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 标 名 称</w:t>
            </w:r>
          </w:p>
        </w:tc>
        <w:tc>
          <w:tcPr>
            <w:tcW w:w="113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16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 w:hRule="atLeast"/>
        </w:trPr>
        <w:tc>
          <w:tcPr>
            <w:tcW w:w="226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氟硅酸</w:t>
            </w:r>
            <w:r>
              <w:rPr>
                <w:rFonts w:hint="default" w:ascii="Times New Roman" w:hAnsi="Times New Roman" w:eastAsia="宋体" w:cs="Times New Roman"/>
                <w:sz w:val="21"/>
                <w:szCs w:val="21"/>
                <w:lang w:val="en-US" w:eastAsia="zh-CN"/>
              </w:rPr>
              <w:t>镁</w:t>
            </w:r>
            <w:r>
              <w:rPr>
                <w:rFonts w:hint="default" w:ascii="Times New Roman" w:hAnsi="Times New Roman" w:eastAsia="宋体" w:cs="Times New Roman"/>
                <w:sz w:val="21"/>
                <w:szCs w:val="21"/>
              </w:rPr>
              <w:t>含量，％≥</w:t>
            </w:r>
          </w:p>
        </w:tc>
        <w:tc>
          <w:tcPr>
            <w:tcW w:w="113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98.0</w:t>
            </w:r>
          </w:p>
        </w:tc>
        <w:tc>
          <w:tcPr>
            <w:tcW w:w="16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trPr>
        <w:tc>
          <w:tcPr>
            <w:tcW w:w="226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水不溶物含量，％≤</w:t>
            </w:r>
          </w:p>
        </w:tc>
        <w:tc>
          <w:tcPr>
            <w:tcW w:w="113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0.50</w:t>
            </w:r>
          </w:p>
        </w:tc>
        <w:tc>
          <w:tcPr>
            <w:tcW w:w="16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trPr>
        <w:tc>
          <w:tcPr>
            <w:tcW w:w="226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硫酸盐（SO4），％≤</w:t>
            </w:r>
          </w:p>
        </w:tc>
        <w:tc>
          <w:tcPr>
            <w:tcW w:w="113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0.20</w:t>
            </w:r>
          </w:p>
        </w:tc>
        <w:tc>
          <w:tcPr>
            <w:tcW w:w="16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26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氯化物（CI），％≤</w:t>
            </w:r>
          </w:p>
        </w:tc>
        <w:tc>
          <w:tcPr>
            <w:tcW w:w="113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w:t>
            </w:r>
          </w:p>
        </w:tc>
        <w:tc>
          <w:tcPr>
            <w:tcW w:w="16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26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铁（Fe），％≤</w:t>
            </w:r>
          </w:p>
        </w:tc>
        <w:tc>
          <w:tcPr>
            <w:tcW w:w="113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c>
          <w:tcPr>
            <w:tcW w:w="16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26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外观</w:t>
            </w:r>
          </w:p>
        </w:tc>
        <w:tc>
          <w:tcPr>
            <w:tcW w:w="113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白色结晶粉末</w:t>
            </w:r>
          </w:p>
        </w:tc>
        <w:tc>
          <w:tcPr>
            <w:tcW w:w="16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白色结晶粉末</w:t>
            </w:r>
          </w:p>
        </w:tc>
      </w:tr>
    </w:tbl>
    <w:p>
      <w:pPr>
        <w:numPr>
          <w:ilvl w:val="0"/>
          <w:numId w:val="0"/>
        </w:num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6）氟硅酸钠</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3"/>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344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 标 名 称     </w:t>
            </w:r>
          </w:p>
        </w:tc>
        <w:tc>
          <w:tcPr>
            <w:tcW w:w="155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标  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44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氟硅酸</w:t>
            </w:r>
            <w:r>
              <w:rPr>
                <w:rFonts w:hint="default" w:ascii="Times New Roman" w:hAnsi="Times New Roman" w:eastAsia="宋体" w:cs="Times New Roman"/>
                <w:sz w:val="21"/>
                <w:szCs w:val="21"/>
                <w:lang w:val="en-US" w:eastAsia="zh-CN"/>
              </w:rPr>
              <w:t>钠</w:t>
            </w:r>
            <w:r>
              <w:rPr>
                <w:rFonts w:hint="default" w:ascii="Times New Roman" w:hAnsi="Times New Roman" w:eastAsia="宋体" w:cs="Times New Roman"/>
                <w:sz w:val="21"/>
                <w:szCs w:val="21"/>
              </w:rPr>
              <w:t xml:space="preserve"> ≥,％  </w:t>
            </w:r>
          </w:p>
        </w:tc>
        <w:tc>
          <w:tcPr>
            <w:tcW w:w="155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344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硫酸盐(SO4)         ≤, ％</w:t>
            </w:r>
          </w:p>
        </w:tc>
        <w:tc>
          <w:tcPr>
            <w:tcW w:w="155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344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氟硅酸(H2SiF6)       ≤, ％</w:t>
            </w:r>
          </w:p>
        </w:tc>
        <w:tc>
          <w:tcPr>
            <w:tcW w:w="155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4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水份                ≤, ％</w:t>
            </w:r>
          </w:p>
        </w:tc>
        <w:tc>
          <w:tcPr>
            <w:tcW w:w="155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4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水不溶物            ≤, ％</w:t>
            </w:r>
          </w:p>
        </w:tc>
        <w:tc>
          <w:tcPr>
            <w:tcW w:w="155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44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外观      </w:t>
            </w:r>
          </w:p>
        </w:tc>
        <w:tc>
          <w:tcPr>
            <w:tcW w:w="155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白色结晶</w:t>
            </w:r>
          </w:p>
        </w:tc>
      </w:tr>
    </w:tbl>
    <w:p>
      <w:pPr>
        <w:numPr>
          <w:ilvl w:val="0"/>
          <w:numId w:val="8"/>
        </w:num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氟硼酸</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3"/>
        <w:gridCol w:w="860"/>
        <w:gridCol w:w="1009"/>
        <w:gridCol w:w="2658"/>
        <w:gridCol w:w="1009"/>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7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指标名称</w:t>
            </w:r>
          </w:p>
        </w:tc>
        <w:tc>
          <w:tcPr>
            <w:tcW w:w="46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w:t>
            </w:r>
          </w:p>
        </w:tc>
        <w:tc>
          <w:tcPr>
            <w:tcW w:w="54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w:t>
            </w:r>
          </w:p>
        </w:tc>
        <w:tc>
          <w:tcPr>
            <w:tcW w:w="143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指标名称</w:t>
            </w:r>
          </w:p>
        </w:tc>
        <w:tc>
          <w:tcPr>
            <w:tcW w:w="54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w:t>
            </w:r>
          </w:p>
        </w:tc>
        <w:tc>
          <w:tcPr>
            <w:tcW w:w="54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47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氟硼酸(HBF4),%≥</w:t>
            </w:r>
          </w:p>
        </w:tc>
        <w:tc>
          <w:tcPr>
            <w:tcW w:w="46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54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p>
        </w:tc>
        <w:tc>
          <w:tcPr>
            <w:tcW w:w="143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氯化物(Cl),%  ≤</w:t>
            </w:r>
          </w:p>
        </w:tc>
        <w:tc>
          <w:tcPr>
            <w:tcW w:w="54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54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游离硼酸(H3BO3),%≤</w:t>
            </w:r>
          </w:p>
        </w:tc>
        <w:tc>
          <w:tcPr>
            <w:tcW w:w="46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0.60</w:t>
            </w:r>
          </w:p>
        </w:tc>
        <w:tc>
          <w:tcPr>
            <w:tcW w:w="54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143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硫酸盐(SO4),%  ≤</w:t>
            </w:r>
          </w:p>
        </w:tc>
        <w:tc>
          <w:tcPr>
            <w:tcW w:w="54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w:t>
            </w:r>
          </w:p>
        </w:tc>
        <w:tc>
          <w:tcPr>
            <w:tcW w:w="54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47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铁(Fe)      ,% ≤</w:t>
            </w:r>
          </w:p>
        </w:tc>
        <w:tc>
          <w:tcPr>
            <w:tcW w:w="46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54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0.008</w:t>
            </w:r>
          </w:p>
        </w:tc>
        <w:tc>
          <w:tcPr>
            <w:tcW w:w="143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氟硅酸盐(SiF6),% ≤</w:t>
            </w:r>
          </w:p>
        </w:tc>
        <w:tc>
          <w:tcPr>
            <w:tcW w:w="54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w:t>
            </w:r>
          </w:p>
        </w:tc>
        <w:tc>
          <w:tcPr>
            <w:tcW w:w="543"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0.20</w:t>
            </w:r>
          </w:p>
        </w:tc>
      </w:tr>
    </w:tbl>
    <w:p>
      <w:pPr>
        <w:numPr>
          <w:ilvl w:val="0"/>
          <w:numId w:val="8"/>
        </w:num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氟硼酸钾</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9"/>
        <w:gridCol w:w="1014"/>
        <w:gridCol w:w="1014"/>
        <w:gridCol w:w="2919"/>
        <w:gridCol w:w="866"/>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指标名称</w:t>
            </w:r>
          </w:p>
        </w:tc>
        <w:tc>
          <w:tcPr>
            <w:tcW w:w="54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特级</w:t>
            </w:r>
          </w:p>
        </w:tc>
        <w:tc>
          <w:tcPr>
            <w:tcW w:w="54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157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指标名称</w:t>
            </w:r>
          </w:p>
        </w:tc>
        <w:tc>
          <w:tcPr>
            <w:tcW w:w="46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特级</w:t>
            </w:r>
          </w:p>
        </w:tc>
        <w:tc>
          <w:tcPr>
            <w:tcW w:w="46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4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氟硼酸钾KBF4,%≥</w:t>
            </w:r>
          </w:p>
        </w:tc>
        <w:tc>
          <w:tcPr>
            <w:tcW w:w="54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98.0</w:t>
            </w:r>
          </w:p>
        </w:tc>
        <w:tc>
          <w:tcPr>
            <w:tcW w:w="54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97.0</w:t>
            </w:r>
          </w:p>
        </w:tc>
        <w:tc>
          <w:tcPr>
            <w:tcW w:w="157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氯化物(Cl),%  ≤</w:t>
            </w:r>
          </w:p>
        </w:tc>
        <w:tc>
          <w:tcPr>
            <w:tcW w:w="46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w:t>
            </w:r>
          </w:p>
        </w:tc>
        <w:tc>
          <w:tcPr>
            <w:tcW w:w="46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4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磷酸盐（PO4）</w:t>
            </w:r>
          </w:p>
        </w:tc>
        <w:tc>
          <w:tcPr>
            <w:tcW w:w="54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54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c>
          <w:tcPr>
            <w:tcW w:w="157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硫酸盐(SO4),%  ≤</w:t>
            </w:r>
          </w:p>
        </w:tc>
        <w:tc>
          <w:tcPr>
            <w:tcW w:w="46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w:t>
            </w:r>
          </w:p>
        </w:tc>
        <w:tc>
          <w:tcPr>
            <w:tcW w:w="46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4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铁(Fe)      ,%  ≤</w:t>
            </w:r>
          </w:p>
        </w:tc>
        <w:tc>
          <w:tcPr>
            <w:tcW w:w="54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w:t>
            </w:r>
          </w:p>
        </w:tc>
        <w:tc>
          <w:tcPr>
            <w:tcW w:w="54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0.008</w:t>
            </w:r>
          </w:p>
        </w:tc>
        <w:tc>
          <w:tcPr>
            <w:tcW w:w="157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硅酸盐(SiO2),% ≤</w:t>
            </w:r>
          </w:p>
        </w:tc>
        <w:tc>
          <w:tcPr>
            <w:tcW w:w="46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46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14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重金属（Pb）</w:t>
            </w:r>
          </w:p>
        </w:tc>
        <w:tc>
          <w:tcPr>
            <w:tcW w:w="54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w:t>
            </w:r>
          </w:p>
        </w:tc>
        <w:tc>
          <w:tcPr>
            <w:tcW w:w="54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w:t>
            </w:r>
          </w:p>
        </w:tc>
        <w:tc>
          <w:tcPr>
            <w:tcW w:w="157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氟硅酸钾（K2SiF6）,% ≤</w:t>
            </w:r>
          </w:p>
        </w:tc>
        <w:tc>
          <w:tcPr>
            <w:tcW w:w="466"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c>
          <w:tcPr>
            <w:tcW w:w="466"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bl>
    <w:p>
      <w:pPr>
        <w:numPr>
          <w:ilvl w:val="0"/>
          <w:numId w:val="8"/>
        </w:num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氟硼酸钠</w:t>
      </w:r>
    </w:p>
    <w:tbl>
      <w:tblPr>
        <w:tblStyle w:val="2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1030"/>
        <w:gridCol w:w="1030"/>
        <w:gridCol w:w="2693"/>
        <w:gridCol w:w="878"/>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49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指标名称</w:t>
            </w:r>
          </w:p>
        </w:tc>
        <w:tc>
          <w:tcPr>
            <w:tcW w:w="55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特级</w:t>
            </w:r>
          </w:p>
        </w:tc>
        <w:tc>
          <w:tcPr>
            <w:tcW w:w="55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145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指标名称</w:t>
            </w:r>
          </w:p>
        </w:tc>
        <w:tc>
          <w:tcPr>
            <w:tcW w:w="47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特级</w:t>
            </w:r>
          </w:p>
        </w:tc>
        <w:tc>
          <w:tcPr>
            <w:tcW w:w="47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49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氟硼酸(NaBF4),%≥</w:t>
            </w:r>
          </w:p>
        </w:tc>
        <w:tc>
          <w:tcPr>
            <w:tcW w:w="55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97.0</w:t>
            </w:r>
          </w:p>
        </w:tc>
        <w:tc>
          <w:tcPr>
            <w:tcW w:w="55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95.0</w:t>
            </w:r>
          </w:p>
        </w:tc>
        <w:tc>
          <w:tcPr>
            <w:tcW w:w="145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氯化物(CI),% ≤</w:t>
            </w:r>
          </w:p>
        </w:tc>
        <w:tc>
          <w:tcPr>
            <w:tcW w:w="47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w:t>
            </w:r>
          </w:p>
        </w:tc>
        <w:tc>
          <w:tcPr>
            <w:tcW w:w="47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49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磷酸盐（PO4）%≤</w:t>
            </w:r>
          </w:p>
        </w:tc>
        <w:tc>
          <w:tcPr>
            <w:tcW w:w="55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55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c>
          <w:tcPr>
            <w:tcW w:w="145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硫酸盐(SO4),% ≤</w:t>
            </w:r>
          </w:p>
        </w:tc>
        <w:tc>
          <w:tcPr>
            <w:tcW w:w="47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w:t>
            </w:r>
          </w:p>
        </w:tc>
        <w:tc>
          <w:tcPr>
            <w:tcW w:w="47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trPr>
        <w:tc>
          <w:tcPr>
            <w:tcW w:w="149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铁(Fe) ,%  ≤</w:t>
            </w:r>
          </w:p>
        </w:tc>
        <w:tc>
          <w:tcPr>
            <w:tcW w:w="55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w:t>
            </w:r>
          </w:p>
        </w:tc>
        <w:tc>
          <w:tcPr>
            <w:tcW w:w="55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0.008</w:t>
            </w:r>
          </w:p>
        </w:tc>
        <w:tc>
          <w:tcPr>
            <w:tcW w:w="145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硅酸盐(SiO2),% ≤</w:t>
            </w:r>
          </w:p>
        </w:tc>
        <w:tc>
          <w:tcPr>
            <w:tcW w:w="47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47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trPr>
        <w:tc>
          <w:tcPr>
            <w:tcW w:w="1492"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重金属（Pb）%≤</w:t>
            </w:r>
          </w:p>
        </w:tc>
        <w:tc>
          <w:tcPr>
            <w:tcW w:w="55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w:t>
            </w:r>
          </w:p>
        </w:tc>
        <w:tc>
          <w:tcPr>
            <w:tcW w:w="55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w:t>
            </w:r>
          </w:p>
        </w:tc>
        <w:tc>
          <w:tcPr>
            <w:tcW w:w="145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水溶解试验</w:t>
            </w:r>
          </w:p>
        </w:tc>
        <w:tc>
          <w:tcPr>
            <w:tcW w:w="473"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c>
          <w:tcPr>
            <w:tcW w:w="472"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bl>
    <w:p>
      <w:pPr>
        <w:numPr>
          <w:ilvl w:val="0"/>
          <w:numId w:val="8"/>
        </w:num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氟硼酸锂</w:t>
      </w:r>
    </w:p>
    <w:tbl>
      <w:tblPr>
        <w:tblStyle w:val="25"/>
        <w:tblW w:w="50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2"/>
        <w:gridCol w:w="934"/>
        <w:gridCol w:w="4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4" w:hRule="atLeast"/>
        </w:trPr>
        <w:tc>
          <w:tcPr>
            <w:tcW w:w="227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指标名称</w:t>
            </w:r>
          </w:p>
        </w:tc>
        <w:tc>
          <w:tcPr>
            <w:tcW w:w="500"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w:t>
            </w:r>
          </w:p>
        </w:tc>
        <w:tc>
          <w:tcPr>
            <w:tcW w:w="2228"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227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氟硼酸</w:t>
            </w:r>
            <w:r>
              <w:rPr>
                <w:rFonts w:hint="default" w:ascii="Times New Roman" w:hAnsi="Times New Roman" w:eastAsia="宋体" w:cs="Times New Roman"/>
                <w:sz w:val="21"/>
                <w:szCs w:val="21"/>
                <w:lang w:val="en-US" w:eastAsia="zh-CN"/>
              </w:rPr>
              <w:t>锂</w:t>
            </w:r>
            <w:r>
              <w:rPr>
                <w:rFonts w:hint="default" w:ascii="Times New Roman" w:hAnsi="Times New Roman" w:eastAsia="宋体" w:cs="Times New Roman"/>
                <w:sz w:val="21"/>
                <w:szCs w:val="21"/>
              </w:rPr>
              <w:t>,%≥</w:t>
            </w:r>
          </w:p>
        </w:tc>
        <w:tc>
          <w:tcPr>
            <w:tcW w:w="500"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97.0</w:t>
            </w:r>
          </w:p>
        </w:tc>
        <w:tc>
          <w:tcPr>
            <w:tcW w:w="2228"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227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游离硼酸(H3BO3),％</w:t>
            </w:r>
          </w:p>
        </w:tc>
        <w:tc>
          <w:tcPr>
            <w:tcW w:w="500"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228"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227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游离氟硼酸（HBF4）,% ≤</w:t>
            </w:r>
          </w:p>
        </w:tc>
        <w:tc>
          <w:tcPr>
            <w:tcW w:w="500"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228"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227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铁(Fe),%  ≤</w:t>
            </w:r>
          </w:p>
        </w:tc>
        <w:tc>
          <w:tcPr>
            <w:tcW w:w="500"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w:t>
            </w:r>
          </w:p>
        </w:tc>
        <w:tc>
          <w:tcPr>
            <w:tcW w:w="2228"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227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氯化物(Cl),%  ≤</w:t>
            </w:r>
          </w:p>
        </w:tc>
        <w:tc>
          <w:tcPr>
            <w:tcW w:w="500"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w:t>
            </w:r>
          </w:p>
        </w:tc>
        <w:tc>
          <w:tcPr>
            <w:tcW w:w="2228"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227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硫酸盐(SO4),%  ≤</w:t>
            </w:r>
          </w:p>
        </w:tc>
        <w:tc>
          <w:tcPr>
            <w:tcW w:w="500"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0.50</w:t>
            </w:r>
          </w:p>
        </w:tc>
        <w:tc>
          <w:tcPr>
            <w:tcW w:w="2228"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227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硅酸盐(SiO2),% ≤</w:t>
            </w:r>
          </w:p>
        </w:tc>
        <w:tc>
          <w:tcPr>
            <w:tcW w:w="500"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0.50</w:t>
            </w:r>
          </w:p>
        </w:tc>
        <w:tc>
          <w:tcPr>
            <w:tcW w:w="2228"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0.20</w:t>
            </w:r>
          </w:p>
        </w:tc>
      </w:tr>
    </w:tbl>
    <w:p>
      <w:pPr>
        <w:numPr>
          <w:ilvl w:val="0"/>
          <w:numId w:val="8"/>
        </w:num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氟铝酸钾</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7"/>
        <w:gridCol w:w="2101"/>
        <w:gridCol w:w="2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226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 标 名 称</w:t>
            </w:r>
          </w:p>
        </w:tc>
        <w:tc>
          <w:tcPr>
            <w:tcW w:w="113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16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7" w:hRule="atLeast"/>
        </w:trPr>
        <w:tc>
          <w:tcPr>
            <w:tcW w:w="226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氟铝酸钾</w:t>
            </w:r>
            <w:r>
              <w:rPr>
                <w:rFonts w:hint="default" w:ascii="Times New Roman" w:hAnsi="Times New Roman" w:eastAsia="宋体" w:cs="Times New Roman"/>
                <w:sz w:val="21"/>
                <w:szCs w:val="21"/>
              </w:rPr>
              <w:t>含量，％≥</w:t>
            </w:r>
          </w:p>
        </w:tc>
        <w:tc>
          <w:tcPr>
            <w:tcW w:w="113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98.0</w:t>
            </w:r>
          </w:p>
        </w:tc>
        <w:tc>
          <w:tcPr>
            <w:tcW w:w="16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trPr>
        <w:tc>
          <w:tcPr>
            <w:tcW w:w="226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水不溶物含量，％≤</w:t>
            </w:r>
          </w:p>
        </w:tc>
        <w:tc>
          <w:tcPr>
            <w:tcW w:w="113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0.50</w:t>
            </w:r>
          </w:p>
        </w:tc>
        <w:tc>
          <w:tcPr>
            <w:tcW w:w="16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26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外观</w:t>
            </w:r>
          </w:p>
        </w:tc>
        <w:tc>
          <w:tcPr>
            <w:tcW w:w="113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白色结晶粉末</w:t>
            </w:r>
          </w:p>
        </w:tc>
        <w:tc>
          <w:tcPr>
            <w:tcW w:w="16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白色结晶粉末</w:t>
            </w:r>
          </w:p>
        </w:tc>
      </w:tr>
    </w:tbl>
    <w:p>
      <w:pPr>
        <w:numPr>
          <w:ilvl w:val="0"/>
          <w:numId w:val="8"/>
        </w:num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氟铝酸钠</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7"/>
        <w:gridCol w:w="2101"/>
        <w:gridCol w:w="2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trPr>
        <w:tc>
          <w:tcPr>
            <w:tcW w:w="226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 标 名 称</w:t>
            </w:r>
          </w:p>
        </w:tc>
        <w:tc>
          <w:tcPr>
            <w:tcW w:w="113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w:t>
            </w:r>
          </w:p>
        </w:tc>
        <w:tc>
          <w:tcPr>
            <w:tcW w:w="16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 w:hRule="atLeast"/>
        </w:trPr>
        <w:tc>
          <w:tcPr>
            <w:tcW w:w="226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氟铝酸钠</w:t>
            </w:r>
            <w:r>
              <w:rPr>
                <w:rFonts w:hint="default" w:ascii="Times New Roman" w:hAnsi="Times New Roman" w:eastAsia="宋体" w:cs="Times New Roman"/>
                <w:sz w:val="21"/>
                <w:szCs w:val="21"/>
              </w:rPr>
              <w:t>含量，％≥</w:t>
            </w:r>
          </w:p>
        </w:tc>
        <w:tc>
          <w:tcPr>
            <w:tcW w:w="113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98.0</w:t>
            </w:r>
          </w:p>
        </w:tc>
        <w:tc>
          <w:tcPr>
            <w:tcW w:w="16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trPr>
        <w:tc>
          <w:tcPr>
            <w:tcW w:w="226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水不溶物含量，％≤</w:t>
            </w:r>
          </w:p>
        </w:tc>
        <w:tc>
          <w:tcPr>
            <w:tcW w:w="113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0.50</w:t>
            </w:r>
          </w:p>
        </w:tc>
        <w:tc>
          <w:tcPr>
            <w:tcW w:w="16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26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外观</w:t>
            </w:r>
          </w:p>
        </w:tc>
        <w:tc>
          <w:tcPr>
            <w:tcW w:w="1131"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白色结晶粉末</w:t>
            </w:r>
          </w:p>
        </w:tc>
        <w:tc>
          <w:tcPr>
            <w:tcW w:w="1604"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白色结晶粉末</w:t>
            </w:r>
          </w:p>
        </w:tc>
      </w:tr>
    </w:tbl>
    <w:p>
      <w:pPr>
        <w:numPr>
          <w:ilvl w:val="0"/>
          <w:numId w:val="8"/>
        </w:num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氟化氢钠</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58"/>
        <w:gridCol w:w="1310"/>
        <w:gridCol w:w="2838"/>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 w:hRule="atLeast"/>
        </w:trPr>
        <w:tc>
          <w:tcPr>
            <w:tcW w:w="207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指标名称</w:t>
            </w:r>
          </w:p>
        </w:tc>
        <w:tc>
          <w:tcPr>
            <w:tcW w:w="705"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w:t>
            </w:r>
          </w:p>
        </w:tc>
        <w:tc>
          <w:tcPr>
            <w:tcW w:w="1528"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指标名称</w:t>
            </w:r>
          </w:p>
        </w:tc>
        <w:tc>
          <w:tcPr>
            <w:tcW w:w="690"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trPr>
        <w:tc>
          <w:tcPr>
            <w:tcW w:w="207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氟化氢钠含量（NaHF2），％≥ </w:t>
            </w:r>
          </w:p>
        </w:tc>
        <w:tc>
          <w:tcPr>
            <w:tcW w:w="70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99.0</w:t>
            </w:r>
          </w:p>
        </w:tc>
        <w:tc>
          <w:tcPr>
            <w:tcW w:w="1528"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氯化物（Cl），% ≤</w:t>
            </w:r>
          </w:p>
        </w:tc>
        <w:tc>
          <w:tcPr>
            <w:tcW w:w="690"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207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氟硅酸盐（以SiO3计），% </w:t>
            </w:r>
          </w:p>
        </w:tc>
        <w:tc>
          <w:tcPr>
            <w:tcW w:w="70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0.05  </w:t>
            </w:r>
          </w:p>
        </w:tc>
        <w:tc>
          <w:tcPr>
            <w:tcW w:w="1528"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硫酸盐（SO4），% ≤</w:t>
            </w:r>
          </w:p>
        </w:tc>
        <w:tc>
          <w:tcPr>
            <w:tcW w:w="690"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2077"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铁（Fe），% ≤</w:t>
            </w:r>
          </w:p>
        </w:tc>
        <w:tc>
          <w:tcPr>
            <w:tcW w:w="705"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0.002</w:t>
            </w:r>
          </w:p>
        </w:tc>
        <w:tc>
          <w:tcPr>
            <w:tcW w:w="1528"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重金属（Pb），% ≤</w:t>
            </w:r>
          </w:p>
        </w:tc>
        <w:tc>
          <w:tcPr>
            <w:tcW w:w="690"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0.003</w:t>
            </w:r>
          </w:p>
        </w:tc>
      </w:tr>
    </w:tbl>
    <w:p>
      <w:pPr>
        <w:numPr>
          <w:ilvl w:val="0"/>
          <w:numId w:val="8"/>
        </w:num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氟化钾</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58"/>
        <w:gridCol w:w="1310"/>
        <w:gridCol w:w="2838"/>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 w:hRule="atLeast"/>
        </w:trPr>
        <w:tc>
          <w:tcPr>
            <w:tcW w:w="207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指标名称</w:t>
            </w:r>
          </w:p>
        </w:tc>
        <w:tc>
          <w:tcPr>
            <w:tcW w:w="705"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w:t>
            </w:r>
          </w:p>
        </w:tc>
        <w:tc>
          <w:tcPr>
            <w:tcW w:w="1528"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指标名称</w:t>
            </w:r>
          </w:p>
        </w:tc>
        <w:tc>
          <w:tcPr>
            <w:tcW w:w="690"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trPr>
        <w:tc>
          <w:tcPr>
            <w:tcW w:w="207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氟化</w:t>
            </w:r>
            <w:r>
              <w:rPr>
                <w:rFonts w:hint="default" w:ascii="Times New Roman" w:hAnsi="Times New Roman" w:eastAsia="宋体" w:cs="Times New Roman"/>
                <w:sz w:val="21"/>
                <w:szCs w:val="21"/>
                <w:lang w:val="en-US" w:eastAsia="zh-CN"/>
              </w:rPr>
              <w:t>钾</w:t>
            </w:r>
            <w:r>
              <w:rPr>
                <w:rFonts w:hint="default" w:ascii="Times New Roman" w:hAnsi="Times New Roman" w:eastAsia="宋体" w:cs="Times New Roman"/>
                <w:sz w:val="21"/>
                <w:szCs w:val="21"/>
              </w:rPr>
              <w:t>含量（</w:t>
            </w:r>
            <w:r>
              <w:rPr>
                <w:rFonts w:hint="default" w:ascii="Times New Roman" w:hAnsi="Times New Roman" w:eastAsia="宋体" w:cs="Times New Roman"/>
                <w:sz w:val="21"/>
                <w:szCs w:val="21"/>
                <w:lang w:val="en-US" w:eastAsia="zh-CN"/>
              </w:rPr>
              <w:t>KF</w:t>
            </w:r>
            <w:r>
              <w:rPr>
                <w:rFonts w:hint="default" w:ascii="Times New Roman" w:hAnsi="Times New Roman" w:eastAsia="宋体" w:cs="Times New Roman"/>
                <w:sz w:val="21"/>
                <w:szCs w:val="21"/>
              </w:rPr>
              <w:t xml:space="preserve">），％≥ </w:t>
            </w:r>
          </w:p>
        </w:tc>
        <w:tc>
          <w:tcPr>
            <w:tcW w:w="70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99.0</w:t>
            </w:r>
          </w:p>
        </w:tc>
        <w:tc>
          <w:tcPr>
            <w:tcW w:w="1528"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氯化物（Cl），% ≤</w:t>
            </w:r>
          </w:p>
        </w:tc>
        <w:tc>
          <w:tcPr>
            <w:tcW w:w="690"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207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氟硅酸盐（以SiO3计），% </w:t>
            </w:r>
          </w:p>
        </w:tc>
        <w:tc>
          <w:tcPr>
            <w:tcW w:w="70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0.05  </w:t>
            </w:r>
          </w:p>
        </w:tc>
        <w:tc>
          <w:tcPr>
            <w:tcW w:w="1528"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硫酸盐（SO4），% ≤</w:t>
            </w:r>
          </w:p>
        </w:tc>
        <w:tc>
          <w:tcPr>
            <w:tcW w:w="690"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2077"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铁（Fe），% ≤</w:t>
            </w:r>
          </w:p>
        </w:tc>
        <w:tc>
          <w:tcPr>
            <w:tcW w:w="705"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0.002</w:t>
            </w:r>
          </w:p>
        </w:tc>
        <w:tc>
          <w:tcPr>
            <w:tcW w:w="1528"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重金属（Pb），% ≤</w:t>
            </w:r>
          </w:p>
        </w:tc>
        <w:tc>
          <w:tcPr>
            <w:tcW w:w="690"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0.003</w:t>
            </w:r>
          </w:p>
        </w:tc>
      </w:tr>
    </w:tbl>
    <w:p>
      <w:pPr>
        <w:numPr>
          <w:ilvl w:val="0"/>
          <w:numId w:val="8"/>
        </w:num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氟化氢钾</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58"/>
        <w:gridCol w:w="1310"/>
        <w:gridCol w:w="2838"/>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 w:hRule="atLeast"/>
        </w:trPr>
        <w:tc>
          <w:tcPr>
            <w:tcW w:w="207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指标名称</w:t>
            </w:r>
          </w:p>
        </w:tc>
        <w:tc>
          <w:tcPr>
            <w:tcW w:w="705"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w:t>
            </w:r>
          </w:p>
        </w:tc>
        <w:tc>
          <w:tcPr>
            <w:tcW w:w="1528"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指标名称</w:t>
            </w:r>
          </w:p>
        </w:tc>
        <w:tc>
          <w:tcPr>
            <w:tcW w:w="690"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trPr>
        <w:tc>
          <w:tcPr>
            <w:tcW w:w="207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氟化氢</w:t>
            </w:r>
            <w:r>
              <w:rPr>
                <w:rFonts w:hint="default" w:ascii="Times New Roman" w:hAnsi="Times New Roman" w:eastAsia="宋体" w:cs="Times New Roman"/>
                <w:sz w:val="21"/>
                <w:szCs w:val="21"/>
                <w:lang w:val="en-US" w:eastAsia="zh-CN"/>
              </w:rPr>
              <w:t>钾</w:t>
            </w:r>
            <w:r>
              <w:rPr>
                <w:rFonts w:hint="default" w:ascii="Times New Roman" w:hAnsi="Times New Roman" w:eastAsia="宋体" w:cs="Times New Roman"/>
                <w:sz w:val="21"/>
                <w:szCs w:val="21"/>
              </w:rPr>
              <w:t>含量（</w:t>
            </w:r>
            <w:r>
              <w:rPr>
                <w:rFonts w:hint="default" w:ascii="Times New Roman" w:hAnsi="Times New Roman" w:eastAsia="宋体" w:cs="Times New Roman"/>
                <w:sz w:val="21"/>
                <w:szCs w:val="21"/>
                <w:lang w:val="en-US" w:eastAsia="zh-CN"/>
              </w:rPr>
              <w:t>KHF</w:t>
            </w:r>
            <w:r>
              <w:rPr>
                <w:rFonts w:hint="default" w:ascii="Times New Roman" w:hAnsi="Times New Roman" w:eastAsia="宋体" w:cs="Times New Roman"/>
                <w:sz w:val="21"/>
                <w:szCs w:val="21"/>
              </w:rPr>
              <w:t xml:space="preserve">），％≥ </w:t>
            </w:r>
          </w:p>
        </w:tc>
        <w:tc>
          <w:tcPr>
            <w:tcW w:w="70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99.0</w:t>
            </w:r>
          </w:p>
        </w:tc>
        <w:tc>
          <w:tcPr>
            <w:tcW w:w="1528"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氯化物（Cl），% ≤</w:t>
            </w:r>
          </w:p>
        </w:tc>
        <w:tc>
          <w:tcPr>
            <w:tcW w:w="690"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207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氟硅酸盐（以SiO3计），% </w:t>
            </w:r>
          </w:p>
        </w:tc>
        <w:tc>
          <w:tcPr>
            <w:tcW w:w="70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0.05  </w:t>
            </w:r>
          </w:p>
        </w:tc>
        <w:tc>
          <w:tcPr>
            <w:tcW w:w="1528"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硫酸盐（SO4），% ≤</w:t>
            </w:r>
          </w:p>
        </w:tc>
        <w:tc>
          <w:tcPr>
            <w:tcW w:w="690"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2077"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铁（Fe），% ≤</w:t>
            </w:r>
          </w:p>
        </w:tc>
        <w:tc>
          <w:tcPr>
            <w:tcW w:w="705"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0.002</w:t>
            </w:r>
          </w:p>
        </w:tc>
        <w:tc>
          <w:tcPr>
            <w:tcW w:w="1528"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重金属（Pb），% ≤</w:t>
            </w:r>
          </w:p>
        </w:tc>
        <w:tc>
          <w:tcPr>
            <w:tcW w:w="690"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0.003</w:t>
            </w:r>
          </w:p>
        </w:tc>
      </w:tr>
    </w:tbl>
    <w:p>
      <w:pPr>
        <w:numPr>
          <w:ilvl w:val="0"/>
          <w:numId w:val="8"/>
        </w:num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氟化钠</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58"/>
        <w:gridCol w:w="1310"/>
        <w:gridCol w:w="2838"/>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 w:hRule="atLeast"/>
        </w:trPr>
        <w:tc>
          <w:tcPr>
            <w:tcW w:w="207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指标名称</w:t>
            </w:r>
          </w:p>
        </w:tc>
        <w:tc>
          <w:tcPr>
            <w:tcW w:w="705"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w:t>
            </w:r>
          </w:p>
        </w:tc>
        <w:tc>
          <w:tcPr>
            <w:tcW w:w="1528"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指标名称</w:t>
            </w:r>
          </w:p>
        </w:tc>
        <w:tc>
          <w:tcPr>
            <w:tcW w:w="690"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trPr>
        <w:tc>
          <w:tcPr>
            <w:tcW w:w="207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氟化钠含量（NaF），％≥ </w:t>
            </w:r>
          </w:p>
        </w:tc>
        <w:tc>
          <w:tcPr>
            <w:tcW w:w="70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99.0</w:t>
            </w:r>
          </w:p>
        </w:tc>
        <w:tc>
          <w:tcPr>
            <w:tcW w:w="1528"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氯化物（Cl），% ≤</w:t>
            </w:r>
          </w:p>
        </w:tc>
        <w:tc>
          <w:tcPr>
            <w:tcW w:w="690"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2077"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氟硅酸盐（以SiO3计），% </w:t>
            </w:r>
          </w:p>
        </w:tc>
        <w:tc>
          <w:tcPr>
            <w:tcW w:w="705"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0.05  </w:t>
            </w:r>
          </w:p>
        </w:tc>
        <w:tc>
          <w:tcPr>
            <w:tcW w:w="1528"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硫酸盐（SO4），% ≤</w:t>
            </w:r>
          </w:p>
        </w:tc>
        <w:tc>
          <w:tcPr>
            <w:tcW w:w="690" w:type="pct"/>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2077"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铁（Fe），% ≤</w:t>
            </w:r>
          </w:p>
        </w:tc>
        <w:tc>
          <w:tcPr>
            <w:tcW w:w="705"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0.002</w:t>
            </w:r>
          </w:p>
        </w:tc>
        <w:tc>
          <w:tcPr>
            <w:tcW w:w="1528"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重金属（Pb），% ≤</w:t>
            </w:r>
          </w:p>
        </w:tc>
        <w:tc>
          <w:tcPr>
            <w:tcW w:w="690" w:type="pct"/>
            <w:tcBorders>
              <w:bottom w:val="single" w:color="auto" w:sz="4" w:space="0"/>
            </w:tcBorders>
            <w:noWrap w:val="0"/>
            <w:vAlign w:val="top"/>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0.003</w:t>
            </w:r>
          </w:p>
        </w:tc>
      </w:tr>
    </w:tbl>
    <w:p>
      <w:pPr>
        <w:numPr>
          <w:ilvl w:val="0"/>
          <w:numId w:val="8"/>
        </w:num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氟化钡</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9"/>
        <w:gridCol w:w="1793"/>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指标名称</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一级品</w:t>
            </w:r>
          </w:p>
        </w:tc>
        <w:tc>
          <w:tcPr>
            <w:tcW w:w="105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氟化钡含量（BaF2）%，≥</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99</w:t>
            </w:r>
          </w:p>
        </w:tc>
        <w:tc>
          <w:tcPr>
            <w:tcW w:w="105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硫酸盐（以SO4计）%，≤</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05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氟硅酸盐（以SiF6计）%，≤</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w:t>
            </w:r>
          </w:p>
        </w:tc>
        <w:tc>
          <w:tcPr>
            <w:tcW w:w="105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灼烧残渣 %,≤</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105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r>
    </w:tbl>
    <w:p>
      <w:pPr>
        <w:numPr>
          <w:ilvl w:val="0"/>
          <w:numId w:val="8"/>
        </w:num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氟化锌</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9"/>
        <w:gridCol w:w="1793"/>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指标名称</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一级品</w:t>
            </w:r>
          </w:p>
        </w:tc>
        <w:tc>
          <w:tcPr>
            <w:tcW w:w="105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氟化</w:t>
            </w:r>
            <w:r>
              <w:rPr>
                <w:rFonts w:hint="default" w:ascii="Times New Roman" w:hAnsi="Times New Roman" w:eastAsia="宋体" w:cs="Times New Roman"/>
                <w:sz w:val="21"/>
                <w:szCs w:val="21"/>
                <w:lang w:val="en-US" w:eastAsia="zh-CN"/>
              </w:rPr>
              <w:t>锌</w:t>
            </w:r>
            <w:r>
              <w:rPr>
                <w:rFonts w:hint="default" w:ascii="Times New Roman" w:hAnsi="Times New Roman" w:eastAsia="宋体" w:cs="Times New Roman"/>
                <w:sz w:val="21"/>
                <w:szCs w:val="21"/>
              </w:rPr>
              <w:t>含量（</w:t>
            </w:r>
            <w:r>
              <w:rPr>
                <w:rFonts w:hint="default" w:ascii="Times New Roman" w:hAnsi="Times New Roman" w:eastAsia="宋体" w:cs="Times New Roman"/>
                <w:sz w:val="21"/>
                <w:szCs w:val="21"/>
                <w:lang w:val="en-US" w:eastAsia="zh-CN"/>
              </w:rPr>
              <w:t>Zn</w:t>
            </w:r>
            <w:r>
              <w:rPr>
                <w:rFonts w:hint="default" w:ascii="Times New Roman" w:hAnsi="Times New Roman" w:eastAsia="宋体" w:cs="Times New Roman"/>
                <w:sz w:val="21"/>
                <w:szCs w:val="21"/>
              </w:rPr>
              <w:t>F2）%，≥</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99</w:t>
            </w:r>
          </w:p>
        </w:tc>
        <w:tc>
          <w:tcPr>
            <w:tcW w:w="105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硫酸盐（以SO4计）%，≤</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05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氟硅酸盐（以SiF6计）%，≤</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w:t>
            </w:r>
          </w:p>
        </w:tc>
        <w:tc>
          <w:tcPr>
            <w:tcW w:w="105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灼烧残渣 %,≤</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105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r>
    </w:tbl>
    <w:p>
      <w:pPr>
        <w:numPr>
          <w:ilvl w:val="0"/>
          <w:numId w:val="8"/>
        </w:num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氟化锂</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39"/>
        <w:gridCol w:w="1793"/>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指标名称</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一级品</w:t>
            </w:r>
          </w:p>
        </w:tc>
        <w:tc>
          <w:tcPr>
            <w:tcW w:w="105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氟化</w:t>
            </w:r>
            <w:r>
              <w:rPr>
                <w:rFonts w:hint="default" w:ascii="Times New Roman" w:hAnsi="Times New Roman" w:eastAsia="宋体" w:cs="Times New Roman"/>
                <w:sz w:val="21"/>
                <w:szCs w:val="21"/>
                <w:lang w:val="en-US" w:eastAsia="zh-CN"/>
              </w:rPr>
              <w:t>锂</w:t>
            </w:r>
            <w:r>
              <w:rPr>
                <w:rFonts w:hint="default" w:ascii="Times New Roman" w:hAnsi="Times New Roman" w:eastAsia="宋体" w:cs="Times New Roman"/>
                <w:sz w:val="21"/>
                <w:szCs w:val="21"/>
              </w:rPr>
              <w:t>含量（</w:t>
            </w:r>
            <w:r>
              <w:rPr>
                <w:rFonts w:hint="default" w:ascii="Times New Roman" w:hAnsi="Times New Roman" w:eastAsia="宋体" w:cs="Times New Roman"/>
                <w:sz w:val="21"/>
                <w:szCs w:val="21"/>
                <w:lang w:val="en-US" w:eastAsia="zh-CN"/>
              </w:rPr>
              <w:t>Li</w:t>
            </w:r>
            <w:r>
              <w:rPr>
                <w:rFonts w:hint="default" w:ascii="Times New Roman" w:hAnsi="Times New Roman" w:eastAsia="宋体" w:cs="Times New Roman"/>
                <w:sz w:val="21"/>
                <w:szCs w:val="21"/>
              </w:rPr>
              <w:t>F）%，≥</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99</w:t>
            </w:r>
          </w:p>
        </w:tc>
        <w:tc>
          <w:tcPr>
            <w:tcW w:w="105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硫酸盐（以SO4计）%，≤</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05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氟硅酸盐（以SiF6计）%，≤</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w:t>
            </w:r>
          </w:p>
        </w:tc>
        <w:tc>
          <w:tcPr>
            <w:tcW w:w="105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灼烧残渣 %,≤</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105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r>
    </w:tbl>
    <w:p>
      <w:pPr>
        <w:numPr>
          <w:ilvl w:val="0"/>
          <w:numId w:val="8"/>
        </w:numPr>
        <w:bidi w:val="0"/>
        <w:ind w:firstLine="56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氟化锶</w:t>
      </w:r>
    </w:p>
    <w:tbl>
      <w:tblPr>
        <w:tblStyle w:val="25"/>
        <w:tblW w:w="50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8"/>
        <w:gridCol w:w="1799"/>
        <w:gridCol w:w="1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指标名称</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一级品</w:t>
            </w:r>
          </w:p>
        </w:tc>
        <w:tc>
          <w:tcPr>
            <w:tcW w:w="105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氟化</w:t>
            </w:r>
            <w:r>
              <w:rPr>
                <w:rFonts w:hint="default" w:ascii="Times New Roman" w:hAnsi="Times New Roman" w:eastAsia="宋体" w:cs="Times New Roman"/>
                <w:sz w:val="21"/>
                <w:szCs w:val="21"/>
                <w:lang w:val="en-US" w:eastAsia="zh-CN"/>
              </w:rPr>
              <w:t>锶</w:t>
            </w:r>
            <w:r>
              <w:rPr>
                <w:rFonts w:hint="default" w:ascii="Times New Roman" w:hAnsi="Times New Roman" w:eastAsia="宋体" w:cs="Times New Roman"/>
                <w:sz w:val="21"/>
                <w:szCs w:val="21"/>
              </w:rPr>
              <w:t>含量（SrF2）%，≥</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99</w:t>
            </w:r>
          </w:p>
        </w:tc>
        <w:tc>
          <w:tcPr>
            <w:tcW w:w="105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硫酸盐（以SO4计）%，≤</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0.18</w:t>
            </w:r>
          </w:p>
        </w:tc>
        <w:tc>
          <w:tcPr>
            <w:tcW w:w="105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氟硅酸盐（以SiF6计）%，≤</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w:t>
            </w:r>
          </w:p>
        </w:tc>
        <w:tc>
          <w:tcPr>
            <w:tcW w:w="105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98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灼烧残渣 %,≤</w:t>
            </w:r>
          </w:p>
        </w:tc>
        <w:tc>
          <w:tcPr>
            <w:tcW w:w="965"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c>
          <w:tcPr>
            <w:tcW w:w="1052"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r>
    </w:tbl>
    <w:p>
      <w:pPr>
        <w:numPr>
          <w:ilvl w:val="0"/>
          <w:numId w:val="8"/>
        </w:numPr>
        <w:bidi w:val="0"/>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有水氢氟酸</w:t>
      </w:r>
    </w:p>
    <w:tbl>
      <w:tblPr>
        <w:tblStyle w:val="25"/>
        <w:tblW w:w="501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7"/>
        <w:gridCol w:w="1148"/>
        <w:gridCol w:w="1547"/>
        <w:gridCol w:w="1547"/>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0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指标名称</w:t>
            </w:r>
          </w:p>
        </w:tc>
        <w:tc>
          <w:tcPr>
            <w:tcW w:w="61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特级</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特一级</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特二级</w:t>
            </w:r>
          </w:p>
        </w:tc>
        <w:tc>
          <w:tcPr>
            <w:tcW w:w="72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200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外观</w:t>
            </w:r>
          </w:p>
        </w:tc>
        <w:tc>
          <w:tcPr>
            <w:tcW w:w="2999" w:type="pct"/>
            <w:gridSpan w:val="4"/>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无色透明液体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0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氢氟酸</w:t>
            </w:r>
            <w:r>
              <w:rPr>
                <w:rFonts w:hint="default" w:ascii="Times New Roman" w:hAnsi="Times New Roman" w:cs="Times New Roman"/>
                <w:sz w:val="21"/>
                <w:szCs w:val="21"/>
              </w:rPr>
              <w:t>(H</w:t>
            </w:r>
            <w:r>
              <w:rPr>
                <w:rFonts w:hint="default" w:ascii="Times New Roman" w:hAnsi="Times New Roman" w:cs="Times New Roman"/>
                <w:sz w:val="21"/>
                <w:szCs w:val="21"/>
                <w:lang w:val="en-US" w:eastAsia="zh-CN"/>
              </w:rPr>
              <w:t>F</w:t>
            </w:r>
            <w:r>
              <w:rPr>
                <w:rFonts w:hint="default" w:ascii="Times New Roman" w:hAnsi="Times New Roman" w:cs="Times New Roman"/>
                <w:sz w:val="21"/>
                <w:szCs w:val="21"/>
              </w:rPr>
              <w:t>),%≥</w:t>
            </w:r>
          </w:p>
        </w:tc>
        <w:tc>
          <w:tcPr>
            <w:tcW w:w="61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50.0</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45.0</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40.0</w:t>
            </w:r>
          </w:p>
        </w:tc>
        <w:tc>
          <w:tcPr>
            <w:tcW w:w="72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0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游离酸(HF),%≤</w:t>
            </w:r>
          </w:p>
        </w:tc>
        <w:tc>
          <w:tcPr>
            <w:tcW w:w="61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0.6</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0.6</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0.5</w:t>
            </w:r>
          </w:p>
        </w:tc>
        <w:tc>
          <w:tcPr>
            <w:tcW w:w="72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0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硫酸盐（SO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w:t>
            </w:r>
          </w:p>
        </w:tc>
        <w:tc>
          <w:tcPr>
            <w:tcW w:w="61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0.15</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0.15</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0.15</w:t>
            </w:r>
          </w:p>
        </w:tc>
        <w:tc>
          <w:tcPr>
            <w:tcW w:w="72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00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重金属（Pb）,%≤</w:t>
            </w:r>
          </w:p>
        </w:tc>
        <w:tc>
          <w:tcPr>
            <w:tcW w:w="616"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722"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0.020</w:t>
            </w:r>
          </w:p>
        </w:tc>
      </w:tr>
    </w:tbl>
    <w:p>
      <w:pPr>
        <w:numPr>
          <w:ilvl w:val="0"/>
          <w:numId w:val="8"/>
        </w:numPr>
        <w:bidi w:val="0"/>
        <w:ind w:firstLine="560" w:firstLineChars="200"/>
        <w:rPr>
          <w:rFonts w:hint="default" w:ascii="Times New Roman" w:hAnsi="Times New Roman" w:cs="Times New Roman"/>
          <w:lang w:val="en-US" w:eastAsia="zh-CN"/>
        </w:rPr>
      </w:pPr>
      <w:r>
        <w:rPr>
          <w:rFonts w:hint="default" w:ascii="Times New Roman" w:hAnsi="Times New Roman" w:cs="Times New Roman"/>
        </w:rPr>
        <w:t>氟钛酸</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5"/>
        <w:gridCol w:w="1146"/>
        <w:gridCol w:w="1542"/>
        <w:gridCol w:w="1542"/>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200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指标名称</w:t>
            </w:r>
          </w:p>
        </w:tc>
        <w:tc>
          <w:tcPr>
            <w:tcW w:w="617"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特级</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特一级</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特二级</w:t>
            </w:r>
          </w:p>
        </w:tc>
        <w:tc>
          <w:tcPr>
            <w:tcW w:w="72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trPr>
        <w:tc>
          <w:tcPr>
            <w:tcW w:w="200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外观</w:t>
            </w:r>
          </w:p>
        </w:tc>
        <w:tc>
          <w:tcPr>
            <w:tcW w:w="3000" w:type="pct"/>
            <w:gridSpan w:val="4"/>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无色透明液体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00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氟钛酸(H2TiF6),%≥</w:t>
            </w:r>
          </w:p>
        </w:tc>
        <w:tc>
          <w:tcPr>
            <w:tcW w:w="617"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83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45.0</w:t>
            </w:r>
          </w:p>
        </w:tc>
        <w:tc>
          <w:tcPr>
            <w:tcW w:w="83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p>
        </w:tc>
        <w:tc>
          <w:tcPr>
            <w:tcW w:w="72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00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游离酸(HF),%≤</w:t>
            </w:r>
          </w:p>
        </w:tc>
        <w:tc>
          <w:tcPr>
            <w:tcW w:w="617"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0.6</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0.6</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0.5</w:t>
            </w:r>
          </w:p>
        </w:tc>
        <w:tc>
          <w:tcPr>
            <w:tcW w:w="72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00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硫酸盐（SO</w:t>
            </w:r>
            <w:r>
              <w:rPr>
                <w:rFonts w:hint="default" w:ascii="Times New Roman" w:hAnsi="Times New Roman" w:cs="Times New Roman"/>
                <w:sz w:val="21"/>
                <w:szCs w:val="21"/>
                <w:vertAlign w:val="subscript"/>
              </w:rPr>
              <w:t>4</w:t>
            </w:r>
            <w:r>
              <w:rPr>
                <w:rFonts w:hint="default" w:ascii="Times New Roman" w:hAnsi="Times New Roman" w:cs="Times New Roman"/>
                <w:sz w:val="21"/>
                <w:szCs w:val="21"/>
              </w:rPr>
              <w:t>）,%≤</w:t>
            </w:r>
          </w:p>
        </w:tc>
        <w:tc>
          <w:tcPr>
            <w:tcW w:w="617"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0.15</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0.15</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0.15</w:t>
            </w:r>
          </w:p>
        </w:tc>
        <w:tc>
          <w:tcPr>
            <w:tcW w:w="72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00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重金属（Pb）,%≤</w:t>
            </w:r>
          </w:p>
        </w:tc>
        <w:tc>
          <w:tcPr>
            <w:tcW w:w="617"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83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72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0.020</w:t>
            </w:r>
          </w:p>
        </w:tc>
      </w:tr>
    </w:tbl>
    <w:p>
      <w:pPr>
        <w:numPr>
          <w:ilvl w:val="0"/>
          <w:numId w:val="8"/>
        </w:numPr>
        <w:bidi w:val="0"/>
        <w:ind w:firstLine="560" w:firstLineChars="200"/>
        <w:rPr>
          <w:rFonts w:hint="default" w:ascii="Times New Roman" w:hAnsi="Times New Roman" w:cs="Times New Roman"/>
          <w:lang w:val="en-US" w:eastAsia="zh-CN"/>
        </w:rPr>
      </w:pPr>
      <w:r>
        <w:rPr>
          <w:rFonts w:hint="default" w:ascii="Times New Roman" w:hAnsi="Times New Roman" w:cs="Times New Roman"/>
        </w:rPr>
        <w:t>氟锆酸</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5"/>
        <w:gridCol w:w="1146"/>
        <w:gridCol w:w="1542"/>
        <w:gridCol w:w="1542"/>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200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指标名称</w:t>
            </w:r>
          </w:p>
        </w:tc>
        <w:tc>
          <w:tcPr>
            <w:tcW w:w="617"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特级</w:t>
            </w:r>
          </w:p>
        </w:tc>
        <w:tc>
          <w:tcPr>
            <w:tcW w:w="83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特一级</w:t>
            </w:r>
          </w:p>
        </w:tc>
        <w:tc>
          <w:tcPr>
            <w:tcW w:w="83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特二级</w:t>
            </w:r>
          </w:p>
        </w:tc>
        <w:tc>
          <w:tcPr>
            <w:tcW w:w="72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trPr>
        <w:tc>
          <w:tcPr>
            <w:tcW w:w="200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外观</w:t>
            </w:r>
          </w:p>
        </w:tc>
        <w:tc>
          <w:tcPr>
            <w:tcW w:w="3000" w:type="pct"/>
            <w:gridSpan w:val="4"/>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无色透明液体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00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氟锆酸(H2ZrF6),%≥</w:t>
            </w:r>
          </w:p>
        </w:tc>
        <w:tc>
          <w:tcPr>
            <w:tcW w:w="617"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83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45.0</w:t>
            </w:r>
          </w:p>
        </w:tc>
        <w:tc>
          <w:tcPr>
            <w:tcW w:w="83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p>
        </w:tc>
        <w:tc>
          <w:tcPr>
            <w:tcW w:w="72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00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游离酸(HF),%≤</w:t>
            </w:r>
          </w:p>
        </w:tc>
        <w:tc>
          <w:tcPr>
            <w:tcW w:w="617"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83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83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72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3" w:hRule="atLeast"/>
        </w:trPr>
        <w:tc>
          <w:tcPr>
            <w:tcW w:w="200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硫酸盐（SO4）,%≤</w:t>
            </w:r>
          </w:p>
        </w:tc>
        <w:tc>
          <w:tcPr>
            <w:tcW w:w="617"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w:t>
            </w:r>
          </w:p>
        </w:tc>
        <w:tc>
          <w:tcPr>
            <w:tcW w:w="83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w:t>
            </w:r>
          </w:p>
        </w:tc>
        <w:tc>
          <w:tcPr>
            <w:tcW w:w="83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w:t>
            </w:r>
          </w:p>
        </w:tc>
        <w:tc>
          <w:tcPr>
            <w:tcW w:w="72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00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重金属（Pb）,%≤</w:t>
            </w:r>
          </w:p>
        </w:tc>
        <w:tc>
          <w:tcPr>
            <w:tcW w:w="617"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3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30"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23" w:type="pct"/>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0.020</w:t>
            </w:r>
          </w:p>
        </w:tc>
      </w:tr>
    </w:tbl>
    <w:p>
      <w:pPr>
        <w:pStyle w:val="5"/>
        <w:bidi w:val="0"/>
        <w:ind w:left="0" w:leftChars="0" w:firstLine="0" w:firstLineChars="0"/>
        <w:rPr>
          <w:rFonts w:hint="default" w:ascii="Times New Roman" w:hAnsi="Times New Roman" w:cs="Times New Roman"/>
          <w:b/>
          <w:bCs/>
        </w:rPr>
      </w:pPr>
      <w:r>
        <w:rPr>
          <w:rFonts w:hint="default" w:ascii="Times New Roman" w:hAnsi="Times New Roman" w:cs="Times New Roman"/>
          <w:lang w:val="en-US" w:eastAsia="zh-CN"/>
        </w:rPr>
        <w:t>2.3.4</w:t>
      </w:r>
      <w:r>
        <w:rPr>
          <w:rFonts w:hint="default" w:ascii="Times New Roman" w:hAnsi="Times New Roman" w:cs="Times New Roman"/>
          <w:b/>
          <w:bCs/>
        </w:rPr>
        <w:t>危险化学品主要贮存设施</w:t>
      </w:r>
    </w:p>
    <w:p>
      <w:pPr>
        <w:spacing w:line="540" w:lineRule="exact"/>
        <w:ind w:firstLine="560" w:firstLineChars="200"/>
        <w:rPr>
          <w:rFonts w:hint="default" w:ascii="Times New Roman" w:hAnsi="Times New Roman" w:cs="Times New Roman"/>
        </w:rPr>
      </w:pPr>
      <w:r>
        <w:rPr>
          <w:rFonts w:hint="default" w:ascii="Times New Roman" w:hAnsi="Times New Roman" w:cs="Times New Roman"/>
        </w:rPr>
        <w:t>二、仓储情况</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该</w:t>
      </w:r>
      <w:r>
        <w:rPr>
          <w:rFonts w:hint="eastAsia" w:cs="Times New Roman"/>
          <w:lang w:val="en-US" w:eastAsia="zh-CN"/>
        </w:rPr>
        <w:t>企业</w:t>
      </w:r>
      <w:r>
        <w:rPr>
          <w:rFonts w:hint="default" w:ascii="Times New Roman" w:hAnsi="Times New Roman" w:cs="Times New Roman"/>
        </w:rPr>
        <w:t>生产</w:t>
      </w:r>
      <w:r>
        <w:rPr>
          <w:rFonts w:hint="default" w:ascii="Times New Roman" w:hAnsi="Times New Roman" w:cs="Times New Roman"/>
          <w:lang w:val="en-US" w:eastAsia="zh-CN"/>
        </w:rPr>
        <w:t>的</w:t>
      </w:r>
      <w:r>
        <w:rPr>
          <w:rFonts w:hint="default" w:ascii="Times New Roman" w:hAnsi="Times New Roman" w:cs="Times New Roman"/>
        </w:rPr>
        <w:t>产品及使用的原料品种较多，原料主要为有水氢氟酸（40%）、氟硅酸、碳酸钠、碳酸钾等，产品为有水氢氟酸（20%）、氟硅酸钠等</w:t>
      </w:r>
      <w:r>
        <w:rPr>
          <w:rFonts w:hint="default" w:ascii="Times New Roman" w:hAnsi="Times New Roman" w:cs="Times New Roman"/>
          <w:lang w:val="en-US" w:eastAsia="zh-CN"/>
        </w:rPr>
        <w:t>2</w:t>
      </w:r>
      <w:r>
        <w:rPr>
          <w:rFonts w:hint="default" w:ascii="Times New Roman" w:hAnsi="Times New Roman" w:cs="Times New Roman"/>
        </w:rPr>
        <w:t>3种产品。根据原料及产品物化特性及生产储量要求，物料储存</w:t>
      </w:r>
      <w:r>
        <w:rPr>
          <w:rFonts w:hint="default" w:ascii="Times New Roman" w:hAnsi="Times New Roman" w:cs="Times New Roman"/>
          <w:lang w:val="en-US" w:eastAsia="zh-CN"/>
        </w:rPr>
        <w:t>主要为仓库储存和罐区储存</w:t>
      </w:r>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rPr>
        <w:t>涉及的各类原料、成品仓库均设置良好通风设施，库房进行防潮、防腐处理。严格按国家相关法规要求进行堆放，互为禁忌的物品采用隔开或分离的方式进行储存。其储量严格按国家法规要求，各库房设专人管理。同时为减轻劳动人员工作强度，仓库配有多辆运输小推车以及叉车运送。</w:t>
      </w:r>
    </w:p>
    <w:p>
      <w:pPr>
        <w:ind w:firstLine="560" w:firstLineChars="200"/>
        <w:rPr>
          <w:rFonts w:hint="default" w:ascii="Times New Roman" w:hAnsi="Times New Roman" w:eastAsia="宋体" w:cs="Times New Roman"/>
          <w:lang w:val="en-US" w:eastAsia="zh-CN"/>
        </w:rPr>
      </w:pPr>
      <w:r>
        <w:rPr>
          <w:rFonts w:hint="default" w:ascii="Times New Roman" w:hAnsi="Times New Roman" w:cs="Times New Roman"/>
          <w:lang w:val="en-US" w:eastAsia="zh-CN"/>
        </w:rPr>
        <w:t>该企业的205原料仓库实际作为空桶闲置区</w:t>
      </w:r>
      <w:r>
        <w:rPr>
          <w:rFonts w:hint="eastAsia" w:cs="Times New Roman"/>
          <w:lang w:val="en-US" w:eastAsia="zh-CN"/>
        </w:rPr>
        <w:t>（已停用）</w:t>
      </w:r>
      <w:r>
        <w:rPr>
          <w:rFonts w:hint="default" w:ascii="Times New Roman" w:hAnsi="Times New Roman" w:cs="Times New Roman"/>
          <w:lang w:val="en-US" w:eastAsia="zh-CN"/>
        </w:rPr>
        <w:t>，309半成品仓库二实际作为PLC控制柜的机柜间使用</w:t>
      </w:r>
      <w:r>
        <w:rPr>
          <w:rFonts w:hint="eastAsia" w:cs="Times New Roman"/>
          <w:lang w:val="en-US" w:eastAsia="zh-CN"/>
        </w:rPr>
        <w:t>（于2014年三月重大危险危险源监测监控整治设计方案中进行的改造）</w:t>
      </w:r>
      <w:r>
        <w:rPr>
          <w:rFonts w:hint="default" w:ascii="Times New Roman" w:hAnsi="Times New Roman" w:cs="Times New Roman"/>
          <w:lang w:val="en-US" w:eastAsia="zh-CN"/>
        </w:rPr>
        <w:t>。</w:t>
      </w:r>
    </w:p>
    <w:p>
      <w:pPr>
        <w:ind w:firstLine="560" w:firstLineChars="200"/>
        <w:rPr>
          <w:rFonts w:hint="default" w:ascii="Times New Roman" w:hAnsi="Times New Roman" w:cs="Times New Roman"/>
        </w:rPr>
      </w:pPr>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rPr>
        <w:t>使用的原料及产品储存于201原料罐区、202成品罐区、</w:t>
      </w:r>
      <w:r>
        <w:rPr>
          <w:rFonts w:hint="default" w:ascii="Times New Roman" w:hAnsi="Times New Roman" w:cs="Times New Roman"/>
          <w:lang w:val="en-US" w:eastAsia="zh-CN"/>
        </w:rPr>
        <w:t>308半成品仓库一</w:t>
      </w:r>
      <w:r>
        <w:rPr>
          <w:rFonts w:hint="default" w:ascii="Times New Roman" w:hAnsi="Times New Roman" w:cs="Times New Roman"/>
        </w:rPr>
        <w:t>、204成品仓库，</w:t>
      </w:r>
      <w:r>
        <w:rPr>
          <w:rFonts w:hint="default" w:ascii="Times New Roman" w:hAnsi="Times New Roman" w:cs="Times New Roman"/>
          <w:lang w:eastAsia="zh-CN"/>
        </w:rPr>
        <w:t>203烘干包装库</w:t>
      </w:r>
      <w:r>
        <w:rPr>
          <w:rFonts w:hint="default" w:ascii="Times New Roman" w:hAnsi="Times New Roman" w:cs="Times New Roman"/>
        </w:rPr>
        <w:t>等，具体情况如下表。</w:t>
      </w:r>
    </w:p>
    <w:p>
      <w:pPr>
        <w:spacing w:line="540" w:lineRule="exact"/>
        <w:jc w:val="center"/>
        <w:rPr>
          <w:rFonts w:hint="default" w:ascii="Times New Roman" w:hAnsi="Times New Roman" w:cs="Times New Roman"/>
        </w:rPr>
      </w:pPr>
      <w:r>
        <w:rPr>
          <w:rFonts w:hint="default" w:ascii="Times New Roman" w:hAnsi="Times New Roman" w:cs="Times New Roman"/>
        </w:rPr>
        <w:t>表2.3.3-10 项目涉及的主要原辅材料和产品名称及最大储量表</w:t>
      </w:r>
    </w:p>
    <w:tbl>
      <w:tblPr>
        <w:tblStyle w:val="25"/>
        <w:tblW w:w="492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86"/>
        <w:gridCol w:w="1327"/>
        <w:gridCol w:w="1362"/>
        <w:gridCol w:w="1426"/>
        <w:gridCol w:w="1631"/>
        <w:gridCol w:w="1230"/>
        <w:gridCol w:w="168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725"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744" w:type="pct"/>
            <w:tcBorders>
              <w:top w:val="single" w:color="auto" w:sz="4" w:space="0"/>
            </w:tcBorders>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规格</w:t>
            </w:r>
          </w:p>
        </w:tc>
        <w:tc>
          <w:tcPr>
            <w:tcW w:w="779"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贮存方式</w:t>
            </w:r>
          </w:p>
        </w:tc>
        <w:tc>
          <w:tcPr>
            <w:tcW w:w="891"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最大储存量/t</w:t>
            </w:r>
          </w:p>
        </w:tc>
        <w:tc>
          <w:tcPr>
            <w:tcW w:w="672"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火灾类别</w:t>
            </w:r>
          </w:p>
        </w:tc>
        <w:tc>
          <w:tcPr>
            <w:tcW w:w="921"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5000" w:type="pct"/>
            <w:gridSpan w:val="7"/>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203烘干包装库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1</w:t>
            </w: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碳酸钠</w:t>
            </w:r>
          </w:p>
        </w:tc>
        <w:tc>
          <w:tcPr>
            <w:tcW w:w="744"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779" w:type="pct"/>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1.1</w:t>
            </w:r>
          </w:p>
        </w:tc>
        <w:tc>
          <w:tcPr>
            <w:tcW w:w="672"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2</w:t>
            </w: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氢氧化铝</w:t>
            </w:r>
          </w:p>
        </w:tc>
        <w:tc>
          <w:tcPr>
            <w:tcW w:w="744"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779" w:type="pct"/>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1.425</w:t>
            </w:r>
          </w:p>
        </w:tc>
        <w:tc>
          <w:tcPr>
            <w:tcW w:w="672"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3</w:t>
            </w: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碳酸钾</w:t>
            </w:r>
          </w:p>
        </w:tc>
        <w:tc>
          <w:tcPr>
            <w:tcW w:w="744"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779" w:type="pct"/>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0.1</w:t>
            </w:r>
          </w:p>
        </w:tc>
        <w:tc>
          <w:tcPr>
            <w:tcW w:w="672"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4</w:t>
            </w: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碳酸钡</w:t>
            </w:r>
          </w:p>
        </w:tc>
        <w:tc>
          <w:tcPr>
            <w:tcW w:w="744"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779" w:type="pct"/>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2.5</w:t>
            </w:r>
          </w:p>
        </w:tc>
        <w:tc>
          <w:tcPr>
            <w:tcW w:w="672"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5</w:t>
            </w: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碳酸锶</w:t>
            </w:r>
          </w:p>
        </w:tc>
        <w:tc>
          <w:tcPr>
            <w:tcW w:w="744"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779" w:type="pct"/>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0.9</w:t>
            </w:r>
          </w:p>
        </w:tc>
        <w:tc>
          <w:tcPr>
            <w:tcW w:w="672"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6</w:t>
            </w: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碳酸锂</w:t>
            </w:r>
          </w:p>
        </w:tc>
        <w:tc>
          <w:tcPr>
            <w:tcW w:w="744"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779"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0.175</w:t>
            </w:r>
          </w:p>
        </w:tc>
        <w:tc>
          <w:tcPr>
            <w:tcW w:w="672"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w:t>
            </w:r>
          </w:p>
        </w:tc>
        <w:tc>
          <w:tcPr>
            <w:tcW w:w="725" w:type="pct"/>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石英砂</w:t>
            </w:r>
          </w:p>
        </w:tc>
        <w:tc>
          <w:tcPr>
            <w:tcW w:w="744" w:type="pct"/>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工业级</w:t>
            </w:r>
          </w:p>
        </w:tc>
        <w:tc>
          <w:tcPr>
            <w:tcW w:w="779"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891" w:type="pct"/>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3.15</w:t>
            </w:r>
          </w:p>
        </w:tc>
        <w:tc>
          <w:tcPr>
            <w:tcW w:w="672"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w:t>
            </w:r>
          </w:p>
        </w:tc>
        <w:tc>
          <w:tcPr>
            <w:tcW w:w="725" w:type="pct"/>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碳酸钾</w:t>
            </w:r>
          </w:p>
        </w:tc>
        <w:tc>
          <w:tcPr>
            <w:tcW w:w="744"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工业级</w:t>
            </w:r>
          </w:p>
        </w:tc>
        <w:tc>
          <w:tcPr>
            <w:tcW w:w="779"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891" w:type="pct"/>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13.725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w:t>
            </w:r>
          </w:p>
        </w:tc>
        <w:tc>
          <w:tcPr>
            <w:tcW w:w="725" w:type="pct"/>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氢氧化钾</w:t>
            </w:r>
          </w:p>
        </w:tc>
        <w:tc>
          <w:tcPr>
            <w:tcW w:w="744"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工业级</w:t>
            </w:r>
          </w:p>
        </w:tc>
        <w:tc>
          <w:tcPr>
            <w:tcW w:w="779"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891" w:type="pct"/>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0.7</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w:t>
            </w:r>
          </w:p>
        </w:tc>
        <w:tc>
          <w:tcPr>
            <w:tcW w:w="725" w:type="pct"/>
            <w:vAlign w:val="center"/>
          </w:tcPr>
          <w:p>
            <w:pPr>
              <w:adjustRightIn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碳酸钡</w:t>
            </w:r>
          </w:p>
        </w:tc>
        <w:tc>
          <w:tcPr>
            <w:tcW w:w="744"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工业级</w:t>
            </w:r>
          </w:p>
        </w:tc>
        <w:tc>
          <w:tcPr>
            <w:tcW w:w="779" w:type="pct"/>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袋装</w:t>
            </w:r>
          </w:p>
        </w:tc>
        <w:tc>
          <w:tcPr>
            <w:tcW w:w="891" w:type="pct"/>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0.825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11</w:t>
            </w:r>
          </w:p>
        </w:tc>
        <w:tc>
          <w:tcPr>
            <w:tcW w:w="725" w:type="pct"/>
            <w:vAlign w:val="center"/>
          </w:tcPr>
          <w:p>
            <w:pPr>
              <w:adjustRightIn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碳酸钠</w:t>
            </w:r>
          </w:p>
        </w:tc>
        <w:tc>
          <w:tcPr>
            <w:tcW w:w="744"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工业级</w:t>
            </w:r>
          </w:p>
        </w:tc>
        <w:tc>
          <w:tcPr>
            <w:tcW w:w="779" w:type="pct"/>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袋装</w:t>
            </w:r>
          </w:p>
        </w:tc>
        <w:tc>
          <w:tcPr>
            <w:tcW w:w="891" w:type="pct"/>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2.775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12</w:t>
            </w:r>
          </w:p>
        </w:tc>
        <w:tc>
          <w:tcPr>
            <w:tcW w:w="725" w:type="pct"/>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氢氧化钠</w:t>
            </w:r>
          </w:p>
        </w:tc>
        <w:tc>
          <w:tcPr>
            <w:tcW w:w="744"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工业级</w:t>
            </w:r>
          </w:p>
        </w:tc>
        <w:tc>
          <w:tcPr>
            <w:tcW w:w="779" w:type="pct"/>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袋装</w:t>
            </w:r>
          </w:p>
        </w:tc>
        <w:tc>
          <w:tcPr>
            <w:tcW w:w="891" w:type="pct"/>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0.3</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13</w:t>
            </w:r>
          </w:p>
        </w:tc>
        <w:tc>
          <w:tcPr>
            <w:tcW w:w="725" w:type="pct"/>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碳酸锂</w:t>
            </w:r>
          </w:p>
        </w:tc>
        <w:tc>
          <w:tcPr>
            <w:tcW w:w="744"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工业级</w:t>
            </w:r>
          </w:p>
        </w:tc>
        <w:tc>
          <w:tcPr>
            <w:tcW w:w="779" w:type="pct"/>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袋装</w:t>
            </w:r>
          </w:p>
        </w:tc>
        <w:tc>
          <w:tcPr>
            <w:tcW w:w="891"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3.575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0" w:hRule="atLeast"/>
          <w:tblHeader/>
          <w:jc w:val="center"/>
        </w:trPr>
        <w:tc>
          <w:tcPr>
            <w:tcW w:w="266"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14</w:t>
            </w:r>
          </w:p>
        </w:tc>
        <w:tc>
          <w:tcPr>
            <w:tcW w:w="725" w:type="pct"/>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氢氧化铝</w:t>
            </w:r>
          </w:p>
        </w:tc>
        <w:tc>
          <w:tcPr>
            <w:tcW w:w="744"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工业级</w:t>
            </w:r>
          </w:p>
        </w:tc>
        <w:tc>
          <w:tcPr>
            <w:tcW w:w="779" w:type="pct"/>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袋装</w:t>
            </w:r>
          </w:p>
        </w:tc>
        <w:tc>
          <w:tcPr>
            <w:tcW w:w="891"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3.425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w:t>
            </w:r>
          </w:p>
        </w:tc>
        <w:tc>
          <w:tcPr>
            <w:tcW w:w="725" w:type="pct"/>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钛白粉</w:t>
            </w:r>
          </w:p>
        </w:tc>
        <w:tc>
          <w:tcPr>
            <w:tcW w:w="744"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工业级</w:t>
            </w:r>
          </w:p>
        </w:tc>
        <w:tc>
          <w:tcPr>
            <w:tcW w:w="779" w:type="pct"/>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袋装</w:t>
            </w:r>
          </w:p>
        </w:tc>
        <w:tc>
          <w:tcPr>
            <w:tcW w:w="891"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0.475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w:t>
            </w:r>
          </w:p>
        </w:tc>
        <w:tc>
          <w:tcPr>
            <w:tcW w:w="725" w:type="pct"/>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碳酸锆</w:t>
            </w:r>
          </w:p>
        </w:tc>
        <w:tc>
          <w:tcPr>
            <w:tcW w:w="744" w:type="pct"/>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工业级</w:t>
            </w:r>
          </w:p>
        </w:tc>
        <w:tc>
          <w:tcPr>
            <w:tcW w:w="779" w:type="pct"/>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袋装</w:t>
            </w:r>
          </w:p>
        </w:tc>
        <w:tc>
          <w:tcPr>
            <w:tcW w:w="891"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0.65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5000" w:type="pct"/>
            <w:gridSpan w:val="7"/>
            <w:vAlign w:val="center"/>
          </w:tcPr>
          <w:p>
            <w:pPr>
              <w:spacing w:line="240" w:lineRule="auto"/>
              <w:jc w:val="center"/>
              <w:rPr>
                <w:rFonts w:hint="default" w:ascii="Times New Roman" w:hAnsi="Times New Roman" w:cs="Times New Roman"/>
                <w:sz w:val="21"/>
                <w:szCs w:val="21"/>
                <w:lang w:val="en-US"/>
              </w:rPr>
            </w:pPr>
            <w:r>
              <w:rPr>
                <w:rFonts w:hint="default" w:ascii="Times New Roman" w:hAnsi="Times New Roman" w:cs="Times New Roman"/>
                <w:sz w:val="21"/>
                <w:szCs w:val="21"/>
              </w:rPr>
              <w:t>204</w:t>
            </w:r>
            <w:r>
              <w:rPr>
                <w:rFonts w:hint="default" w:ascii="Times New Roman" w:hAnsi="Times New Roman" w:cs="Times New Roman"/>
                <w:sz w:val="21"/>
                <w:szCs w:val="21"/>
                <w:lang w:val="en-US" w:eastAsia="zh-CN"/>
              </w:rPr>
              <w:t>成品仓库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vAlign w:val="center"/>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氟硅酸钠</w:t>
            </w:r>
          </w:p>
        </w:tc>
        <w:tc>
          <w:tcPr>
            <w:tcW w:w="744" w:type="pct"/>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5.85</w:t>
            </w:r>
          </w:p>
        </w:tc>
        <w:tc>
          <w:tcPr>
            <w:tcW w:w="672"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氟硼酸</w:t>
            </w:r>
          </w:p>
        </w:tc>
        <w:tc>
          <w:tcPr>
            <w:tcW w:w="744" w:type="pct"/>
          </w:tcPr>
          <w:p>
            <w:pPr>
              <w:spacing w:line="30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液</w:t>
            </w:r>
          </w:p>
        </w:tc>
        <w:tc>
          <w:tcPr>
            <w:tcW w:w="779"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桶装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2.375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氟铝酸钾</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0.25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氟铝酸钠</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0.125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氟化钡</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11.675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氟化钠</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1.175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氟化氢钠</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11.675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氟化锶</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0.475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氟化锌</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0.125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氟化锂</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0.125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氟硅酸钾</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891"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11.675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氟硅酸钡</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891"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1.175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氟硅酸镁</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891"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3.85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氟硅酸锌</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891"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1.175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氟硼酸钾</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891"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11.675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氟硼酸钠</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891"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6.075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氟硼酸锂</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891"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1.175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氟化钾</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891"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2.35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氟化氢钾</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891"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2.35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氟锆酸</w:t>
            </w:r>
          </w:p>
        </w:tc>
        <w:tc>
          <w:tcPr>
            <w:tcW w:w="744" w:type="pct"/>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桶装</w:t>
            </w:r>
          </w:p>
        </w:tc>
        <w:tc>
          <w:tcPr>
            <w:tcW w:w="891"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2.35</w:t>
            </w:r>
          </w:p>
        </w:tc>
        <w:tc>
          <w:tcPr>
            <w:tcW w:w="672"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戊类</w:t>
            </w:r>
          </w:p>
        </w:tc>
        <w:tc>
          <w:tcPr>
            <w:tcW w:w="921"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tcPr>
          <w:p>
            <w:pPr>
              <w:numPr>
                <w:ilvl w:val="0"/>
                <w:numId w:val="9"/>
              </w:numPr>
              <w:spacing w:line="240" w:lineRule="auto"/>
              <w:ind w:left="425" w:leftChars="0" w:hanging="425" w:firstLineChars="0"/>
              <w:jc w:val="center"/>
              <w:rPr>
                <w:rFonts w:hint="default" w:ascii="Times New Roman" w:hAnsi="Times New Roman" w:eastAsia="宋体" w:cs="Times New Roman"/>
                <w:sz w:val="21"/>
                <w:szCs w:val="21"/>
                <w:lang w:val="en-US" w:eastAsia="zh-CN"/>
              </w:rPr>
            </w:pPr>
          </w:p>
        </w:tc>
        <w:tc>
          <w:tcPr>
            <w:tcW w:w="725" w:type="pct"/>
            <w:vAlign w:val="center"/>
          </w:tcPr>
          <w:p>
            <w:pPr>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氟钛酸</w:t>
            </w:r>
          </w:p>
        </w:tc>
        <w:tc>
          <w:tcPr>
            <w:tcW w:w="744" w:type="pct"/>
            <w:vAlign w:val="top"/>
          </w:tcPr>
          <w:p>
            <w:pPr>
              <w:spacing w:line="3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固</w:t>
            </w:r>
          </w:p>
        </w:tc>
        <w:tc>
          <w:tcPr>
            <w:tcW w:w="779"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桶装</w:t>
            </w:r>
          </w:p>
        </w:tc>
        <w:tc>
          <w:tcPr>
            <w:tcW w:w="891" w:type="pct"/>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2.35</w:t>
            </w:r>
          </w:p>
        </w:tc>
        <w:tc>
          <w:tcPr>
            <w:tcW w:w="672" w:type="pct"/>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戊类</w:t>
            </w:r>
          </w:p>
        </w:tc>
        <w:tc>
          <w:tcPr>
            <w:tcW w:w="921" w:type="pct"/>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5000" w:type="pct"/>
            <w:gridSpan w:val="7"/>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308半成品仓库一</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w:t>
            </w: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碳酸钠</w:t>
            </w:r>
          </w:p>
        </w:tc>
        <w:tc>
          <w:tcPr>
            <w:tcW w:w="744"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779" w:type="pct"/>
            <w:vAlign w:val="center"/>
          </w:tcPr>
          <w:p>
            <w:pPr>
              <w:spacing w:line="3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1.1</w:t>
            </w:r>
          </w:p>
        </w:tc>
        <w:tc>
          <w:tcPr>
            <w:tcW w:w="672"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戊类</w:t>
            </w:r>
          </w:p>
        </w:tc>
        <w:tc>
          <w:tcPr>
            <w:tcW w:w="92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2</w:t>
            </w: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氢氧化铝</w:t>
            </w:r>
          </w:p>
        </w:tc>
        <w:tc>
          <w:tcPr>
            <w:tcW w:w="744"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779" w:type="pct"/>
            <w:vAlign w:val="center"/>
          </w:tcPr>
          <w:p>
            <w:pPr>
              <w:spacing w:line="3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1.425</w:t>
            </w:r>
          </w:p>
        </w:tc>
        <w:tc>
          <w:tcPr>
            <w:tcW w:w="672"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戊类</w:t>
            </w:r>
          </w:p>
        </w:tc>
        <w:tc>
          <w:tcPr>
            <w:tcW w:w="92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3</w:t>
            </w: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碳酸钾</w:t>
            </w:r>
          </w:p>
        </w:tc>
        <w:tc>
          <w:tcPr>
            <w:tcW w:w="744"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779" w:type="pct"/>
            <w:vAlign w:val="center"/>
          </w:tcPr>
          <w:p>
            <w:pPr>
              <w:spacing w:line="3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0.1</w:t>
            </w:r>
          </w:p>
        </w:tc>
        <w:tc>
          <w:tcPr>
            <w:tcW w:w="672"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戊类</w:t>
            </w:r>
          </w:p>
        </w:tc>
        <w:tc>
          <w:tcPr>
            <w:tcW w:w="92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266"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4</w:t>
            </w:r>
          </w:p>
        </w:tc>
        <w:tc>
          <w:tcPr>
            <w:tcW w:w="725"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碳酸钡</w:t>
            </w:r>
          </w:p>
        </w:tc>
        <w:tc>
          <w:tcPr>
            <w:tcW w:w="744"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779" w:type="pct"/>
            <w:vAlign w:val="center"/>
          </w:tcPr>
          <w:p>
            <w:pPr>
              <w:spacing w:line="3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袋装</w:t>
            </w:r>
          </w:p>
        </w:tc>
        <w:tc>
          <w:tcPr>
            <w:tcW w:w="89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2.5</w:t>
            </w:r>
          </w:p>
        </w:tc>
        <w:tc>
          <w:tcPr>
            <w:tcW w:w="672"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戊类</w:t>
            </w:r>
          </w:p>
        </w:tc>
        <w:tc>
          <w:tcPr>
            <w:tcW w:w="921" w:type="pct"/>
            <w:vAlign w:val="center"/>
          </w:tcPr>
          <w:p>
            <w:pPr>
              <w:spacing w:line="240" w:lineRule="auto"/>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5</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碳酸锶</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0" w:type="auto"/>
            <w:vAlign w:val="center"/>
          </w:tcPr>
          <w:p>
            <w:pPr>
              <w:spacing w:line="3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袋装</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0.9</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戊类</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6</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碳酸锂</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袋装</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0.175</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戊类</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7</w:t>
            </w:r>
          </w:p>
        </w:tc>
        <w:tc>
          <w:tcPr>
            <w:tcW w:w="0" w:type="auto"/>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石英砂</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0" w:type="auto"/>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0" w:type="auto"/>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3.15</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戊类</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8</w:t>
            </w:r>
          </w:p>
        </w:tc>
        <w:tc>
          <w:tcPr>
            <w:tcW w:w="0" w:type="auto"/>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碳酸钾</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0" w:type="auto"/>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0" w:type="auto"/>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13.725</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戊类</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9</w:t>
            </w:r>
          </w:p>
        </w:tc>
        <w:tc>
          <w:tcPr>
            <w:tcW w:w="0" w:type="auto"/>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氢氧化钾</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0" w:type="auto"/>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0" w:type="auto"/>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0.7</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戊类</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w:t>
            </w:r>
          </w:p>
        </w:tc>
        <w:tc>
          <w:tcPr>
            <w:tcW w:w="0" w:type="auto"/>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碳酸钡</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0" w:type="auto"/>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0" w:type="auto"/>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0.825</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戊类</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11</w:t>
            </w:r>
          </w:p>
        </w:tc>
        <w:tc>
          <w:tcPr>
            <w:tcW w:w="0" w:type="auto"/>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碳酸钠</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0" w:type="auto"/>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0" w:type="auto"/>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2.775</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戊类</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12</w:t>
            </w:r>
          </w:p>
        </w:tc>
        <w:tc>
          <w:tcPr>
            <w:tcW w:w="0" w:type="auto"/>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氢氧化钠</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0" w:type="auto"/>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0" w:type="auto"/>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0.3</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戊类</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13</w:t>
            </w:r>
          </w:p>
        </w:tc>
        <w:tc>
          <w:tcPr>
            <w:tcW w:w="0" w:type="auto"/>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碳酸锂</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0" w:type="auto"/>
            <w:vAlign w:val="top"/>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0" w:type="auto"/>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3.575</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戊类</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14</w:t>
            </w:r>
          </w:p>
        </w:tc>
        <w:tc>
          <w:tcPr>
            <w:tcW w:w="0" w:type="auto"/>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氢氧化铝</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0" w:type="auto"/>
            <w:vAlign w:val="top"/>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0" w:type="auto"/>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3.425</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戊类</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15</w:t>
            </w:r>
          </w:p>
        </w:tc>
        <w:tc>
          <w:tcPr>
            <w:tcW w:w="0" w:type="auto"/>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钛白粉</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0" w:type="auto"/>
            <w:vAlign w:val="top"/>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0" w:type="auto"/>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0.475</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戊类</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16</w:t>
            </w:r>
          </w:p>
        </w:tc>
        <w:tc>
          <w:tcPr>
            <w:tcW w:w="0" w:type="auto"/>
            <w:vAlign w:val="center"/>
          </w:tcPr>
          <w:p>
            <w:pPr>
              <w:adjustRightIn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碳酸锆</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工业级</w:t>
            </w:r>
          </w:p>
        </w:tc>
        <w:tc>
          <w:tcPr>
            <w:tcW w:w="0" w:type="auto"/>
            <w:vAlign w:val="top"/>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袋装</w:t>
            </w:r>
          </w:p>
        </w:tc>
        <w:tc>
          <w:tcPr>
            <w:tcW w:w="0" w:type="auto"/>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0.65</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戊类</w:t>
            </w:r>
          </w:p>
        </w:tc>
        <w:tc>
          <w:tcPr>
            <w:tcW w:w="0" w:type="auto"/>
            <w:vAlign w:val="top"/>
          </w:tcPr>
          <w:p>
            <w:pPr>
              <w:spacing w:line="240" w:lineRule="auto"/>
              <w:jc w:val="center"/>
              <w:rPr>
                <w:rFonts w:hint="default" w:ascii="Times New Roman" w:hAnsi="Times New Roman" w:eastAsia="宋体" w:cs="Times New Roman"/>
                <w:kern w:val="2"/>
                <w:sz w:val="21"/>
                <w:szCs w:val="21"/>
                <w:lang w:val="en-US" w:eastAsia="zh-CN" w:bidi="ar-SA"/>
              </w:rPr>
            </w:pPr>
          </w:p>
        </w:tc>
      </w:tr>
    </w:tbl>
    <w:p>
      <w:pPr>
        <w:ind w:firstLine="560" w:firstLineChars="200"/>
        <w:rPr>
          <w:rFonts w:hint="default" w:ascii="Times New Roman" w:hAnsi="Times New Roman" w:cs="Times New Roman"/>
        </w:rPr>
      </w:pPr>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rPr>
        <w:t>大宗原料储存在201原料罐区、202成品罐区。</w:t>
      </w:r>
    </w:p>
    <w:p>
      <w:pPr>
        <w:jc w:val="center"/>
        <w:rPr>
          <w:rFonts w:hint="default" w:ascii="Times New Roman" w:hAnsi="Times New Roman" w:cs="Times New Roman"/>
        </w:rPr>
      </w:pPr>
      <w:r>
        <w:rPr>
          <w:rFonts w:hint="default" w:ascii="Times New Roman" w:hAnsi="Times New Roman" w:cs="Times New Roman"/>
        </w:rPr>
        <w:t>表2.3.3-11 罐区储存情况一览表</w:t>
      </w:r>
    </w:p>
    <w:tbl>
      <w:tblPr>
        <w:tblStyle w:val="25"/>
        <w:tblW w:w="4951"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1079"/>
        <w:gridCol w:w="759"/>
        <w:gridCol w:w="713"/>
        <w:gridCol w:w="858"/>
        <w:gridCol w:w="1288"/>
        <w:gridCol w:w="1034"/>
        <w:gridCol w:w="688"/>
        <w:gridCol w:w="991"/>
        <w:gridCol w:w="13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31"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587"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412" w:type="pct"/>
            <w:tcBorders>
              <w:top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含量</w:t>
            </w:r>
          </w:p>
        </w:tc>
        <w:tc>
          <w:tcPr>
            <w:tcW w:w="388"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储罐形式</w:t>
            </w:r>
          </w:p>
        </w:tc>
        <w:tc>
          <w:tcPr>
            <w:tcW w:w="467"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规格m</w:t>
            </w:r>
            <w:r>
              <w:rPr>
                <w:rFonts w:hint="default" w:ascii="Times New Roman" w:hAnsi="Times New Roman" w:cs="Times New Roman"/>
                <w:sz w:val="21"/>
                <w:szCs w:val="21"/>
                <w:vertAlign w:val="superscript"/>
              </w:rPr>
              <w:t>3</w:t>
            </w:r>
          </w:p>
        </w:tc>
        <w:tc>
          <w:tcPr>
            <w:tcW w:w="700"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存储条件</w:t>
            </w:r>
          </w:p>
        </w:tc>
        <w:tc>
          <w:tcPr>
            <w:tcW w:w="562"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材质</w:t>
            </w:r>
          </w:p>
        </w:tc>
        <w:tc>
          <w:tcPr>
            <w:tcW w:w="374"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数量</w:t>
            </w:r>
          </w:p>
        </w:tc>
        <w:tc>
          <w:tcPr>
            <w:tcW w:w="539"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最大存储量</w:t>
            </w:r>
          </w:p>
        </w:tc>
        <w:tc>
          <w:tcPr>
            <w:tcW w:w="737" w:type="pct"/>
            <w:tcBorders>
              <w:top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5000" w:type="pct"/>
            <w:gridSpan w:val="10"/>
            <w:vAlign w:val="center"/>
          </w:tcPr>
          <w:p>
            <w:pPr>
              <w:spacing w:line="240" w:lineRule="auto"/>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cs="Times New Roman"/>
                <w:sz w:val="21"/>
                <w:szCs w:val="21"/>
              </w:rPr>
              <w:t>20</w:t>
            </w:r>
            <w:r>
              <w:rPr>
                <w:rFonts w:hint="default" w:ascii="Times New Roman" w:hAnsi="Times New Roman" w:cs="Times New Roman"/>
                <w:sz w:val="21"/>
                <w:szCs w:val="21"/>
                <w:lang w:val="en-US" w:eastAsia="zh-CN"/>
              </w:rPr>
              <w:t>1原料罐区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231"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587" w:type="pct"/>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有水氢氟酸</w:t>
            </w:r>
          </w:p>
        </w:tc>
        <w:tc>
          <w:tcPr>
            <w:tcW w:w="412" w:type="pct"/>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40%</w:t>
            </w:r>
          </w:p>
        </w:tc>
        <w:tc>
          <w:tcPr>
            <w:tcW w:w="388" w:type="pct"/>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卧罐</w:t>
            </w:r>
          </w:p>
        </w:tc>
        <w:tc>
          <w:tcPr>
            <w:tcW w:w="467"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0</w:t>
            </w:r>
          </w:p>
        </w:tc>
        <w:tc>
          <w:tcPr>
            <w:tcW w:w="700"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常温，常压</w:t>
            </w:r>
          </w:p>
        </w:tc>
        <w:tc>
          <w:tcPr>
            <w:tcW w:w="562"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PP</w:t>
            </w:r>
          </w:p>
        </w:tc>
        <w:tc>
          <w:tcPr>
            <w:tcW w:w="37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台</w:t>
            </w:r>
          </w:p>
        </w:tc>
        <w:tc>
          <w:tcPr>
            <w:tcW w:w="539"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40.63t</w:t>
            </w:r>
          </w:p>
        </w:tc>
        <w:tc>
          <w:tcPr>
            <w:tcW w:w="737" w:type="pct"/>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231"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587" w:type="pct"/>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氟硅酸</w:t>
            </w:r>
          </w:p>
        </w:tc>
        <w:tc>
          <w:tcPr>
            <w:tcW w:w="412" w:type="pct"/>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36%</w:t>
            </w:r>
          </w:p>
        </w:tc>
        <w:tc>
          <w:tcPr>
            <w:tcW w:w="38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卧罐</w:t>
            </w:r>
          </w:p>
        </w:tc>
        <w:tc>
          <w:tcPr>
            <w:tcW w:w="467"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0</w:t>
            </w:r>
          </w:p>
        </w:tc>
        <w:tc>
          <w:tcPr>
            <w:tcW w:w="700"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常温，常压</w:t>
            </w:r>
          </w:p>
        </w:tc>
        <w:tc>
          <w:tcPr>
            <w:tcW w:w="562"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PP</w:t>
            </w:r>
          </w:p>
        </w:tc>
        <w:tc>
          <w:tcPr>
            <w:tcW w:w="37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10</w:t>
            </w:r>
            <w:r>
              <w:rPr>
                <w:rFonts w:hint="default" w:ascii="Times New Roman" w:hAnsi="Times New Roman" w:cs="Times New Roman"/>
                <w:sz w:val="21"/>
                <w:szCs w:val="21"/>
              </w:rPr>
              <w:t>台</w:t>
            </w:r>
          </w:p>
        </w:tc>
        <w:tc>
          <w:tcPr>
            <w:tcW w:w="539" w:type="pct"/>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448.8</w:t>
            </w:r>
            <w:r>
              <w:rPr>
                <w:rFonts w:hint="default" w:ascii="Times New Roman" w:hAnsi="Times New Roman" w:cs="Times New Roman"/>
                <w:sz w:val="21"/>
                <w:szCs w:val="21"/>
                <w:lang w:val="en-US" w:eastAsia="zh-CN"/>
              </w:rPr>
              <w:t>t</w:t>
            </w:r>
          </w:p>
        </w:tc>
        <w:tc>
          <w:tcPr>
            <w:tcW w:w="737" w:type="pct"/>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5000" w:type="pct"/>
            <w:gridSpan w:val="1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202成品罐区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231"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587"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氟硼酸</w:t>
            </w:r>
          </w:p>
        </w:tc>
        <w:tc>
          <w:tcPr>
            <w:tcW w:w="412"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33.6%</w:t>
            </w:r>
          </w:p>
        </w:tc>
        <w:tc>
          <w:tcPr>
            <w:tcW w:w="38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立式</w:t>
            </w:r>
          </w:p>
        </w:tc>
        <w:tc>
          <w:tcPr>
            <w:tcW w:w="467"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25</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p>
        </w:tc>
        <w:tc>
          <w:tcPr>
            <w:tcW w:w="700"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常温，常压</w:t>
            </w:r>
          </w:p>
        </w:tc>
        <w:tc>
          <w:tcPr>
            <w:tcW w:w="562"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PP</w:t>
            </w:r>
          </w:p>
        </w:tc>
        <w:tc>
          <w:tcPr>
            <w:tcW w:w="37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6台</w:t>
            </w:r>
          </w:p>
        </w:tc>
        <w:tc>
          <w:tcPr>
            <w:tcW w:w="539" w:type="pct"/>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265</w:t>
            </w:r>
            <w:r>
              <w:rPr>
                <w:rFonts w:hint="default" w:ascii="Times New Roman" w:hAnsi="Times New Roman" w:cs="Times New Roman"/>
                <w:sz w:val="21"/>
                <w:szCs w:val="21"/>
                <w:lang w:val="en-US" w:eastAsia="zh-CN"/>
              </w:rPr>
              <w:t>t</w:t>
            </w:r>
          </w:p>
        </w:tc>
        <w:tc>
          <w:tcPr>
            <w:tcW w:w="737" w:type="pct"/>
            <w:vAlign w:val="center"/>
          </w:tcPr>
          <w:p>
            <w:pPr>
              <w:spacing w:line="240" w:lineRule="auto"/>
              <w:jc w:val="center"/>
              <w:rPr>
                <w:rFonts w:hint="default" w:ascii="Times New Roman" w:hAnsi="Times New Roman" w:cs="Times New Roman"/>
                <w:sz w:val="21"/>
                <w:szCs w:val="21"/>
              </w:rPr>
            </w:pPr>
          </w:p>
        </w:tc>
      </w:tr>
    </w:tbl>
    <w:p>
      <w:pPr>
        <w:pStyle w:val="4"/>
        <w:rPr>
          <w:rFonts w:hint="default" w:ascii="Times New Roman" w:hAnsi="Times New Roman" w:cs="Times New Roman"/>
        </w:rPr>
      </w:pPr>
      <w:bookmarkStart w:id="18" w:name="_Toc30422"/>
      <w:r>
        <w:rPr>
          <w:rFonts w:hint="default" w:ascii="Times New Roman" w:hAnsi="Times New Roman" w:cs="Times New Roman"/>
        </w:rPr>
        <w:t>2.</w:t>
      </w:r>
      <w:r>
        <w:rPr>
          <w:rFonts w:hint="default" w:ascii="Times New Roman" w:hAnsi="Times New Roman" w:cs="Times New Roman"/>
          <w:lang w:val="en-US" w:eastAsia="zh-CN"/>
        </w:rPr>
        <w:t>4</w:t>
      </w:r>
      <w:r>
        <w:rPr>
          <w:rFonts w:hint="default" w:ascii="Times New Roman" w:hAnsi="Times New Roman" w:cs="Times New Roman"/>
        </w:rPr>
        <w:t>公用工程及辅助设施</w:t>
      </w:r>
      <w:bookmarkEnd w:id="18"/>
    </w:p>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4</w:t>
      </w:r>
      <w:r>
        <w:rPr>
          <w:rFonts w:hint="default" w:ascii="Times New Roman" w:hAnsi="Times New Roman" w:cs="Times New Roman"/>
        </w:rPr>
        <w:t>.1供配电系统</w:t>
      </w:r>
    </w:p>
    <w:p>
      <w:pPr>
        <w:numPr>
          <w:ilvl w:val="0"/>
          <w:numId w:val="10"/>
        </w:numPr>
        <w:ind w:firstLine="560" w:firstLineChars="200"/>
        <w:rPr>
          <w:rFonts w:hint="default" w:ascii="Times New Roman" w:hAnsi="Times New Roman" w:cs="Times New Roman"/>
        </w:rPr>
      </w:pPr>
      <w:r>
        <w:rPr>
          <w:rFonts w:hint="default" w:ascii="Times New Roman" w:hAnsi="Times New Roman" w:cs="Times New Roman"/>
        </w:rPr>
        <w:t>供电电源</w:t>
      </w:r>
    </w:p>
    <w:p>
      <w:pPr>
        <w:ind w:firstLine="560" w:firstLineChars="200"/>
        <w:rPr>
          <w:rFonts w:hint="default" w:ascii="Times New Roman" w:hAnsi="Times New Roman" w:eastAsia="宋体" w:cs="Times New Roman"/>
          <w:bCs/>
          <w:kern w:val="0"/>
        </w:rPr>
      </w:pPr>
      <w:r>
        <w:rPr>
          <w:rFonts w:hint="default" w:ascii="Times New Roman" w:hAnsi="Times New Roman" w:eastAsia="宋体" w:cs="Times New Roman"/>
          <w:bCs/>
          <w:kern w:val="0"/>
        </w:rPr>
        <w:t>该企业供电由广丰县供电局提供一路10kV进线，10kV高压线沿电杆从公司东面进厂后通过埋地电缆引至厂区配电间。在烘干车间西面设置一座配电间，设有S11-M-400变压器1台。在配电间西面发电机房内配有75kW柴油发电机组一套。</w:t>
      </w:r>
    </w:p>
    <w:p>
      <w:pPr>
        <w:ind w:firstLine="560" w:firstLineChars="200"/>
        <w:rPr>
          <w:rFonts w:hint="default" w:ascii="Times New Roman" w:hAnsi="Times New Roman" w:cs="Times New Roman"/>
        </w:rPr>
      </w:pPr>
      <w:r>
        <w:rPr>
          <w:rFonts w:hint="default" w:ascii="Times New Roman" w:hAnsi="Times New Roman" w:cs="Times New Roman"/>
        </w:rPr>
        <w:t>2、负荷等级及供电电源可靠性</w:t>
      </w:r>
    </w:p>
    <w:p>
      <w:pPr>
        <w:ind w:firstLine="560" w:firstLineChars="200"/>
        <w:rPr>
          <w:rFonts w:hint="default" w:ascii="Times New Roman" w:hAnsi="Times New Roman" w:cs="Times New Roman"/>
        </w:rPr>
      </w:pPr>
      <w:r>
        <w:rPr>
          <w:rFonts w:hint="default" w:ascii="Times New Roman" w:hAnsi="Times New Roman" w:cs="Times New Roman"/>
        </w:rPr>
        <w:t>该企业一级负荷中特别重要负荷涉及：自动控制系统、有毒气体检测报警系统、应急照明等；涉及的二级负荷为消防水泵（15kW）、潜水泵（22kW）和尾气吸收装置（28kW）等；其中应急照明采用自带蓄电池的型号，连续供电时间不少于90min；有毒气体检测报警系统、自动控制系统设有UPS电源（3KW）作为备用电源供电；该企业的二级负荷共计65kW，</w:t>
      </w:r>
      <w:r>
        <w:rPr>
          <w:rFonts w:hint="default" w:ascii="Times New Roman" w:hAnsi="Times New Roman" w:cs="Times New Roman"/>
          <w:lang w:val="en-US" w:eastAsia="zh-CN"/>
        </w:rPr>
        <w:t>设</w:t>
      </w:r>
      <w:r>
        <w:rPr>
          <w:rFonts w:hint="default" w:ascii="Times New Roman" w:hAnsi="Times New Roman" w:cs="Times New Roman"/>
        </w:rPr>
        <w:t>有一套75kW柴油发电机组</w:t>
      </w:r>
      <w:r>
        <w:rPr>
          <w:rFonts w:hint="default" w:ascii="Times New Roman" w:hAnsi="Times New Roman" w:cs="Times New Roman"/>
          <w:lang w:eastAsia="zh-CN"/>
        </w:rPr>
        <w:t>，</w:t>
      </w:r>
      <w:r>
        <w:rPr>
          <w:rFonts w:hint="default" w:ascii="Times New Roman" w:hAnsi="Times New Roman" w:cs="Times New Roman"/>
        </w:rPr>
        <w:t>因此能满足该</w:t>
      </w:r>
      <w:r>
        <w:rPr>
          <w:rFonts w:hint="eastAsia" w:cs="Times New Roman"/>
          <w:lang w:val="en-US" w:eastAsia="zh-CN"/>
        </w:rPr>
        <w:t>企业</w:t>
      </w:r>
      <w:r>
        <w:rPr>
          <w:rFonts w:hint="default" w:ascii="Times New Roman" w:hAnsi="Times New Roman" w:cs="Times New Roman"/>
        </w:rPr>
        <w:t>二级用电负荷的需求。</w:t>
      </w:r>
    </w:p>
    <w:p>
      <w:pPr>
        <w:ind w:firstLine="560" w:firstLineChars="200"/>
        <w:rPr>
          <w:rFonts w:hint="default" w:ascii="Times New Roman" w:hAnsi="Times New Roman" w:cs="Times New Roman"/>
        </w:rPr>
      </w:pPr>
      <w:r>
        <w:rPr>
          <w:rFonts w:hint="default" w:ascii="Times New Roman" w:hAnsi="Times New Roman" w:cs="Times New Roman"/>
        </w:rPr>
        <w:t>3、用电负荷计算</w:t>
      </w:r>
    </w:p>
    <w:p>
      <w:pPr>
        <w:ind w:firstLine="560" w:firstLineChars="200"/>
        <w:jc w:val="center"/>
        <w:rPr>
          <w:rFonts w:hint="default" w:ascii="Times New Roman" w:hAnsi="Times New Roman" w:cs="Times New Roman"/>
        </w:rPr>
      </w:pPr>
      <w:r>
        <w:rPr>
          <w:rFonts w:hint="default" w:ascii="Times New Roman" w:hAnsi="Times New Roman" w:cs="Times New Roman"/>
        </w:rPr>
        <w:t>表2.8.2-1 用电负荷计算表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
        <w:gridCol w:w="1122"/>
        <w:gridCol w:w="1910"/>
        <w:gridCol w:w="860"/>
        <w:gridCol w:w="670"/>
        <w:gridCol w:w="620"/>
        <w:gridCol w:w="600"/>
        <w:gridCol w:w="690"/>
        <w:gridCol w:w="780"/>
        <w:gridCol w:w="870"/>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 w:type="pct"/>
            <w:vMerge w:val="restart"/>
            <w:noWrap w:val="0"/>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序号</w:t>
            </w:r>
          </w:p>
        </w:tc>
        <w:tc>
          <w:tcPr>
            <w:tcW w:w="604" w:type="pct"/>
            <w:vMerge w:val="restar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工程名称</w:t>
            </w:r>
          </w:p>
        </w:tc>
        <w:tc>
          <w:tcPr>
            <w:tcW w:w="1028" w:type="pct"/>
            <w:vMerge w:val="restar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用电名称</w:t>
            </w:r>
          </w:p>
        </w:tc>
        <w:tc>
          <w:tcPr>
            <w:tcW w:w="823" w:type="pct"/>
            <w:gridSpan w:val="2"/>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设备容量(kw)</w:t>
            </w:r>
          </w:p>
        </w:tc>
        <w:tc>
          <w:tcPr>
            <w:tcW w:w="333" w:type="pct"/>
            <w:vMerge w:val="restar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需要系数Kc</w:t>
            </w:r>
          </w:p>
        </w:tc>
        <w:tc>
          <w:tcPr>
            <w:tcW w:w="323" w:type="pct"/>
            <w:vMerge w:val="restar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功率</w:t>
            </w:r>
          </w:p>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COSФ</w:t>
            </w:r>
          </w:p>
        </w:tc>
        <w:tc>
          <w:tcPr>
            <w:tcW w:w="371" w:type="pct"/>
            <w:vMerge w:val="restar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计算系数</w:t>
            </w:r>
          </w:p>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tgФ</w:t>
            </w:r>
          </w:p>
        </w:tc>
        <w:tc>
          <w:tcPr>
            <w:tcW w:w="1335" w:type="pct"/>
            <w:gridSpan w:val="3"/>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计算负荷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 w:type="pct"/>
            <w:vMerge w:val="continue"/>
            <w:noWrap w:val="0"/>
            <w:vAlign w:val="center"/>
          </w:tcPr>
          <w:p>
            <w:pPr>
              <w:spacing w:line="240" w:lineRule="auto"/>
              <w:jc w:val="center"/>
              <w:rPr>
                <w:rFonts w:hint="default" w:ascii="Times New Roman" w:hAnsi="Times New Roman" w:cs="Times New Roman"/>
                <w:sz w:val="18"/>
                <w:szCs w:val="18"/>
              </w:rPr>
            </w:pPr>
          </w:p>
        </w:tc>
        <w:tc>
          <w:tcPr>
            <w:tcW w:w="604" w:type="pct"/>
            <w:vMerge w:val="continue"/>
            <w:noWrap w:val="0"/>
            <w:vAlign w:val="center"/>
          </w:tcPr>
          <w:p>
            <w:pPr>
              <w:spacing w:line="240" w:lineRule="auto"/>
              <w:jc w:val="center"/>
              <w:rPr>
                <w:rFonts w:hint="default" w:ascii="Times New Roman" w:hAnsi="Times New Roman" w:cs="Times New Roman"/>
                <w:sz w:val="18"/>
                <w:szCs w:val="18"/>
              </w:rPr>
            </w:pPr>
          </w:p>
        </w:tc>
        <w:tc>
          <w:tcPr>
            <w:tcW w:w="1028" w:type="pct"/>
            <w:vMerge w:val="continue"/>
            <w:noWrap/>
            <w:vAlign w:val="center"/>
          </w:tcPr>
          <w:p>
            <w:pPr>
              <w:spacing w:line="240" w:lineRule="auto"/>
              <w:jc w:val="center"/>
              <w:rPr>
                <w:rFonts w:hint="default" w:ascii="Times New Roman" w:hAnsi="Times New Roman" w:cs="Times New Roman"/>
                <w:sz w:val="18"/>
                <w:szCs w:val="18"/>
              </w:rPr>
            </w:pPr>
          </w:p>
        </w:tc>
        <w:tc>
          <w:tcPr>
            <w:tcW w:w="463"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安装容量(kW)</w:t>
            </w:r>
          </w:p>
        </w:tc>
        <w:tc>
          <w:tcPr>
            <w:tcW w:w="360" w:type="pct"/>
            <w:noWrap w:val="0"/>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工作容量(kW)</w:t>
            </w:r>
          </w:p>
        </w:tc>
        <w:tc>
          <w:tcPr>
            <w:tcW w:w="333" w:type="pct"/>
            <w:vMerge w:val="continue"/>
            <w:noWrap/>
            <w:vAlign w:val="center"/>
          </w:tcPr>
          <w:p>
            <w:pPr>
              <w:spacing w:line="240" w:lineRule="auto"/>
              <w:jc w:val="center"/>
              <w:rPr>
                <w:rFonts w:hint="default" w:ascii="Times New Roman" w:hAnsi="Times New Roman" w:cs="Times New Roman"/>
                <w:sz w:val="18"/>
                <w:szCs w:val="18"/>
              </w:rPr>
            </w:pPr>
          </w:p>
        </w:tc>
        <w:tc>
          <w:tcPr>
            <w:tcW w:w="323" w:type="pct"/>
            <w:vMerge w:val="continue"/>
            <w:noWrap w:val="0"/>
            <w:vAlign w:val="center"/>
          </w:tcPr>
          <w:p>
            <w:pPr>
              <w:spacing w:line="240" w:lineRule="auto"/>
              <w:jc w:val="center"/>
              <w:rPr>
                <w:rFonts w:hint="default" w:ascii="Times New Roman" w:hAnsi="Times New Roman" w:cs="Times New Roman"/>
                <w:sz w:val="18"/>
                <w:szCs w:val="18"/>
              </w:rPr>
            </w:pPr>
          </w:p>
        </w:tc>
        <w:tc>
          <w:tcPr>
            <w:tcW w:w="371" w:type="pct"/>
            <w:vMerge w:val="continue"/>
            <w:noWrap w:val="0"/>
            <w:vAlign w:val="center"/>
          </w:tcPr>
          <w:p>
            <w:pPr>
              <w:spacing w:line="240" w:lineRule="auto"/>
              <w:jc w:val="center"/>
              <w:rPr>
                <w:rFonts w:hint="default" w:ascii="Times New Roman" w:hAnsi="Times New Roman" w:cs="Times New Roman"/>
                <w:sz w:val="18"/>
                <w:szCs w:val="18"/>
              </w:rPr>
            </w:pPr>
          </w:p>
        </w:tc>
        <w:tc>
          <w:tcPr>
            <w:tcW w:w="419"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P（kW）</w:t>
            </w:r>
          </w:p>
        </w:tc>
        <w:tc>
          <w:tcPr>
            <w:tcW w:w="468"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Q(Kvar)</w:t>
            </w:r>
          </w:p>
        </w:tc>
        <w:tc>
          <w:tcPr>
            <w:tcW w:w="446"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S(KVA)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 w:type="pct"/>
            <w:noWrap w:val="0"/>
            <w:vAlign w:val="center"/>
          </w:tcPr>
          <w:p>
            <w:pPr>
              <w:spacing w:line="240" w:lineRule="auto"/>
              <w:jc w:val="center"/>
              <w:rPr>
                <w:rFonts w:hint="default" w:ascii="Times New Roman" w:hAnsi="Times New Roman" w:cs="Times New Roman"/>
                <w:sz w:val="18"/>
                <w:szCs w:val="18"/>
              </w:rPr>
            </w:pPr>
            <w:bookmarkStart w:id="19" w:name="_Hlk435629980"/>
            <w:bookmarkStart w:id="20" w:name="OLE_LINK24" w:colFirst="10" w:colLast="10"/>
            <w:bookmarkStart w:id="21" w:name="OLE_LINK25" w:colFirst="8" w:colLast="8"/>
            <w:bookmarkStart w:id="22" w:name="OLE_LINK26" w:colFirst="8" w:colLast="8"/>
            <w:bookmarkStart w:id="23" w:name="OLE_LINK23" w:colFirst="10" w:colLast="10"/>
            <w:r>
              <w:rPr>
                <w:rFonts w:hint="default" w:ascii="Times New Roman" w:hAnsi="Times New Roman" w:cs="Times New Roman"/>
                <w:sz w:val="18"/>
                <w:szCs w:val="18"/>
              </w:rPr>
              <w:t>1</w:t>
            </w:r>
          </w:p>
        </w:tc>
        <w:tc>
          <w:tcPr>
            <w:tcW w:w="604"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厂内现有生产项目设备用电</w:t>
            </w:r>
          </w:p>
        </w:tc>
        <w:tc>
          <w:tcPr>
            <w:tcW w:w="1028"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101生产车间一、</w:t>
            </w:r>
          </w:p>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102生产车间二、</w:t>
            </w:r>
          </w:p>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104生产车间四、</w:t>
            </w:r>
          </w:p>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105烘干车间及储存设施等</w:t>
            </w:r>
          </w:p>
        </w:tc>
        <w:tc>
          <w:tcPr>
            <w:tcW w:w="463" w:type="pct"/>
            <w:noWrap w:val="0"/>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550</w:t>
            </w:r>
          </w:p>
        </w:tc>
        <w:tc>
          <w:tcPr>
            <w:tcW w:w="360" w:type="pct"/>
            <w:noWrap w:val="0"/>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450</w:t>
            </w:r>
          </w:p>
        </w:tc>
        <w:tc>
          <w:tcPr>
            <w:tcW w:w="333"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0.7</w:t>
            </w:r>
          </w:p>
        </w:tc>
        <w:tc>
          <w:tcPr>
            <w:tcW w:w="323"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0.8</w:t>
            </w:r>
          </w:p>
        </w:tc>
        <w:tc>
          <w:tcPr>
            <w:tcW w:w="371"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0.75</w:t>
            </w:r>
          </w:p>
        </w:tc>
        <w:tc>
          <w:tcPr>
            <w:tcW w:w="419"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315.00</w:t>
            </w:r>
          </w:p>
        </w:tc>
        <w:tc>
          <w:tcPr>
            <w:tcW w:w="468"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236.25</w:t>
            </w:r>
          </w:p>
        </w:tc>
        <w:tc>
          <w:tcPr>
            <w:tcW w:w="446"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393.75</w:t>
            </w:r>
          </w:p>
        </w:tc>
      </w:tr>
      <w:bookmarkEnd w:id="19"/>
      <w:bookmarkEnd w:id="20"/>
      <w:bookmarkEnd w:id="21"/>
      <w:bookmarkEnd w:id="22"/>
      <w:bookmarkEnd w:id="2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 w:type="pct"/>
            <w:noWrap w:val="0"/>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632" w:type="pct"/>
            <w:gridSpan w:val="2"/>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同时系数取kP=0.90  kq=0.93</w:t>
            </w:r>
          </w:p>
        </w:tc>
        <w:tc>
          <w:tcPr>
            <w:tcW w:w="463" w:type="pct"/>
            <w:noWrap/>
            <w:vAlign w:val="center"/>
          </w:tcPr>
          <w:p>
            <w:pPr>
              <w:spacing w:line="240" w:lineRule="auto"/>
              <w:jc w:val="center"/>
              <w:rPr>
                <w:rFonts w:hint="default" w:ascii="Times New Roman" w:hAnsi="Times New Roman" w:cs="Times New Roman"/>
                <w:sz w:val="18"/>
                <w:szCs w:val="18"/>
              </w:rPr>
            </w:pPr>
          </w:p>
        </w:tc>
        <w:tc>
          <w:tcPr>
            <w:tcW w:w="360" w:type="pct"/>
            <w:noWrap w:val="0"/>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450</w:t>
            </w:r>
          </w:p>
        </w:tc>
        <w:tc>
          <w:tcPr>
            <w:tcW w:w="333" w:type="pct"/>
            <w:noWrap w:val="0"/>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0.63</w:t>
            </w:r>
          </w:p>
        </w:tc>
        <w:tc>
          <w:tcPr>
            <w:tcW w:w="323"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0.79</w:t>
            </w:r>
          </w:p>
        </w:tc>
        <w:tc>
          <w:tcPr>
            <w:tcW w:w="371"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0.78</w:t>
            </w:r>
          </w:p>
        </w:tc>
        <w:tc>
          <w:tcPr>
            <w:tcW w:w="419" w:type="pct"/>
            <w:noWrap/>
            <w:vAlign w:val="center"/>
          </w:tcPr>
          <w:p>
            <w:pPr>
              <w:spacing w:line="240" w:lineRule="auto"/>
              <w:jc w:val="center"/>
              <w:rPr>
                <w:rFonts w:hint="default" w:ascii="Times New Roman" w:hAnsi="Times New Roman" w:cs="Times New Roman"/>
                <w:sz w:val="18"/>
                <w:szCs w:val="18"/>
                <w:highlight w:val="yellow"/>
              </w:rPr>
            </w:pPr>
            <w:r>
              <w:rPr>
                <w:rFonts w:hint="default" w:ascii="Times New Roman" w:hAnsi="Times New Roman" w:cs="Times New Roman"/>
                <w:sz w:val="18"/>
                <w:szCs w:val="18"/>
              </w:rPr>
              <w:t>283.5</w:t>
            </w:r>
          </w:p>
        </w:tc>
        <w:tc>
          <w:tcPr>
            <w:tcW w:w="468" w:type="pct"/>
            <w:noWrap/>
            <w:vAlign w:val="center"/>
          </w:tcPr>
          <w:p>
            <w:pPr>
              <w:spacing w:line="240" w:lineRule="auto"/>
              <w:jc w:val="center"/>
              <w:rPr>
                <w:rFonts w:hint="default" w:ascii="Times New Roman" w:hAnsi="Times New Roman" w:cs="Times New Roman"/>
                <w:sz w:val="18"/>
                <w:szCs w:val="18"/>
                <w:highlight w:val="yellow"/>
              </w:rPr>
            </w:pPr>
            <w:r>
              <w:rPr>
                <w:rFonts w:hint="default" w:ascii="Times New Roman" w:hAnsi="Times New Roman" w:cs="Times New Roman"/>
                <w:sz w:val="18"/>
                <w:szCs w:val="18"/>
              </w:rPr>
              <w:t>219.71</w:t>
            </w:r>
          </w:p>
        </w:tc>
        <w:tc>
          <w:tcPr>
            <w:tcW w:w="446" w:type="pct"/>
            <w:noWrap/>
            <w:vAlign w:val="center"/>
          </w:tcPr>
          <w:p>
            <w:pPr>
              <w:spacing w:line="240" w:lineRule="auto"/>
              <w:jc w:val="center"/>
              <w:rPr>
                <w:rFonts w:hint="default" w:ascii="Times New Roman" w:hAnsi="Times New Roman" w:cs="Times New Roman"/>
                <w:sz w:val="18"/>
                <w:szCs w:val="18"/>
                <w:highlight w:val="yellow"/>
              </w:rPr>
            </w:pPr>
            <w:r>
              <w:rPr>
                <w:rFonts w:hint="default" w:ascii="Times New Roman" w:hAnsi="Times New Roman" w:cs="Times New Roman"/>
                <w:sz w:val="18"/>
                <w:szCs w:val="18"/>
              </w:rPr>
              <w:t>358.86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80" w:type="pct"/>
            <w:noWrap w:val="0"/>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4</w:t>
            </w:r>
          </w:p>
        </w:tc>
        <w:tc>
          <w:tcPr>
            <w:tcW w:w="1632" w:type="pct"/>
            <w:gridSpan w:val="2"/>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380V侧无功补偿容量（KVAR）</w:t>
            </w:r>
          </w:p>
        </w:tc>
        <w:tc>
          <w:tcPr>
            <w:tcW w:w="463" w:type="pct"/>
            <w:noWrap/>
            <w:vAlign w:val="center"/>
          </w:tcPr>
          <w:p>
            <w:pPr>
              <w:spacing w:line="240" w:lineRule="auto"/>
              <w:jc w:val="center"/>
              <w:rPr>
                <w:rFonts w:hint="default" w:ascii="Times New Roman" w:hAnsi="Times New Roman" w:cs="Times New Roman"/>
                <w:sz w:val="18"/>
                <w:szCs w:val="18"/>
              </w:rPr>
            </w:pPr>
          </w:p>
        </w:tc>
        <w:tc>
          <w:tcPr>
            <w:tcW w:w="360" w:type="pct"/>
            <w:noWrap w:val="0"/>
            <w:vAlign w:val="center"/>
          </w:tcPr>
          <w:p>
            <w:pPr>
              <w:spacing w:line="240" w:lineRule="auto"/>
              <w:jc w:val="center"/>
              <w:rPr>
                <w:rFonts w:hint="default" w:ascii="Times New Roman" w:hAnsi="Times New Roman" w:cs="Times New Roman"/>
                <w:sz w:val="18"/>
                <w:szCs w:val="18"/>
              </w:rPr>
            </w:pPr>
          </w:p>
        </w:tc>
        <w:tc>
          <w:tcPr>
            <w:tcW w:w="333" w:type="pct"/>
            <w:noWrap w:val="0"/>
            <w:vAlign w:val="center"/>
          </w:tcPr>
          <w:p>
            <w:pPr>
              <w:spacing w:line="240" w:lineRule="auto"/>
              <w:jc w:val="center"/>
              <w:rPr>
                <w:rFonts w:hint="default" w:ascii="Times New Roman" w:hAnsi="Times New Roman" w:cs="Times New Roman"/>
                <w:sz w:val="18"/>
                <w:szCs w:val="18"/>
              </w:rPr>
            </w:pPr>
          </w:p>
        </w:tc>
        <w:tc>
          <w:tcPr>
            <w:tcW w:w="323" w:type="pct"/>
            <w:noWrap/>
            <w:vAlign w:val="center"/>
          </w:tcPr>
          <w:p>
            <w:pPr>
              <w:spacing w:line="240" w:lineRule="auto"/>
              <w:jc w:val="center"/>
              <w:rPr>
                <w:rFonts w:hint="default" w:ascii="Times New Roman" w:hAnsi="Times New Roman" w:cs="Times New Roman"/>
                <w:sz w:val="18"/>
                <w:szCs w:val="18"/>
              </w:rPr>
            </w:pPr>
          </w:p>
        </w:tc>
        <w:tc>
          <w:tcPr>
            <w:tcW w:w="371" w:type="pct"/>
            <w:noWrap/>
            <w:vAlign w:val="center"/>
          </w:tcPr>
          <w:p>
            <w:pPr>
              <w:spacing w:line="240" w:lineRule="auto"/>
              <w:jc w:val="center"/>
              <w:rPr>
                <w:rFonts w:hint="default" w:ascii="Times New Roman" w:hAnsi="Times New Roman" w:cs="Times New Roman"/>
                <w:sz w:val="18"/>
                <w:szCs w:val="18"/>
              </w:rPr>
            </w:pPr>
          </w:p>
        </w:tc>
        <w:tc>
          <w:tcPr>
            <w:tcW w:w="419" w:type="pct"/>
            <w:noWrap/>
            <w:vAlign w:val="center"/>
          </w:tcPr>
          <w:p>
            <w:pPr>
              <w:spacing w:line="240" w:lineRule="auto"/>
              <w:jc w:val="center"/>
              <w:rPr>
                <w:rFonts w:hint="default" w:ascii="Times New Roman" w:hAnsi="Times New Roman" w:cs="Times New Roman"/>
                <w:sz w:val="18"/>
                <w:szCs w:val="18"/>
                <w:highlight w:val="yellow"/>
              </w:rPr>
            </w:pPr>
          </w:p>
        </w:tc>
        <w:tc>
          <w:tcPr>
            <w:tcW w:w="468" w:type="pct"/>
            <w:noWrap/>
            <w:vAlign w:val="center"/>
          </w:tcPr>
          <w:p>
            <w:pPr>
              <w:spacing w:line="240" w:lineRule="auto"/>
              <w:jc w:val="center"/>
              <w:rPr>
                <w:rFonts w:hint="default" w:ascii="Times New Roman" w:hAnsi="Times New Roman" w:cs="Times New Roman"/>
                <w:sz w:val="18"/>
                <w:szCs w:val="18"/>
                <w:highlight w:val="yellow"/>
              </w:rPr>
            </w:pPr>
            <w:r>
              <w:rPr>
                <w:rFonts w:hint="default" w:ascii="Times New Roman" w:hAnsi="Times New Roman" w:cs="Times New Roman"/>
                <w:sz w:val="18"/>
                <w:szCs w:val="18"/>
              </w:rPr>
              <w:t>-126.15</w:t>
            </w:r>
          </w:p>
        </w:tc>
        <w:tc>
          <w:tcPr>
            <w:tcW w:w="446" w:type="pct"/>
            <w:noWrap/>
            <w:vAlign w:val="center"/>
          </w:tcPr>
          <w:p>
            <w:pPr>
              <w:spacing w:line="240" w:lineRule="auto"/>
              <w:jc w:val="center"/>
              <w:rPr>
                <w:rFonts w:hint="default" w:ascii="Times New Roman" w:hAnsi="Times New Roman" w:cs="Times New Roman"/>
                <w:sz w:val="18"/>
                <w:szCs w:val="1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 w:type="pct"/>
            <w:noWrap w:val="0"/>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1632" w:type="pct"/>
            <w:gridSpan w:val="2"/>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380V侧补偿后总负荷</w:t>
            </w:r>
          </w:p>
        </w:tc>
        <w:tc>
          <w:tcPr>
            <w:tcW w:w="463" w:type="pct"/>
            <w:noWrap/>
            <w:vAlign w:val="center"/>
          </w:tcPr>
          <w:p>
            <w:pPr>
              <w:spacing w:line="240" w:lineRule="auto"/>
              <w:jc w:val="center"/>
              <w:rPr>
                <w:rFonts w:hint="default" w:ascii="Times New Roman" w:hAnsi="Times New Roman" w:cs="Times New Roman"/>
                <w:sz w:val="18"/>
                <w:szCs w:val="18"/>
              </w:rPr>
            </w:pPr>
          </w:p>
        </w:tc>
        <w:tc>
          <w:tcPr>
            <w:tcW w:w="360" w:type="pct"/>
            <w:noWrap w:val="0"/>
            <w:vAlign w:val="center"/>
          </w:tcPr>
          <w:p>
            <w:pPr>
              <w:spacing w:line="240" w:lineRule="auto"/>
              <w:jc w:val="center"/>
              <w:rPr>
                <w:rFonts w:hint="default" w:ascii="Times New Roman" w:hAnsi="Times New Roman" w:cs="Times New Roman"/>
                <w:sz w:val="18"/>
                <w:szCs w:val="18"/>
              </w:rPr>
            </w:pPr>
          </w:p>
        </w:tc>
        <w:tc>
          <w:tcPr>
            <w:tcW w:w="333" w:type="pct"/>
            <w:noWrap w:val="0"/>
            <w:vAlign w:val="center"/>
          </w:tcPr>
          <w:p>
            <w:pPr>
              <w:spacing w:line="240" w:lineRule="auto"/>
              <w:jc w:val="center"/>
              <w:rPr>
                <w:rFonts w:hint="default" w:ascii="Times New Roman" w:hAnsi="Times New Roman" w:cs="Times New Roman"/>
                <w:sz w:val="18"/>
                <w:szCs w:val="18"/>
              </w:rPr>
            </w:pPr>
          </w:p>
        </w:tc>
        <w:tc>
          <w:tcPr>
            <w:tcW w:w="323"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0.95</w:t>
            </w:r>
          </w:p>
        </w:tc>
        <w:tc>
          <w:tcPr>
            <w:tcW w:w="371"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0.33</w:t>
            </w:r>
          </w:p>
        </w:tc>
        <w:tc>
          <w:tcPr>
            <w:tcW w:w="419" w:type="pct"/>
            <w:noWrap/>
            <w:vAlign w:val="center"/>
          </w:tcPr>
          <w:p>
            <w:pPr>
              <w:spacing w:line="240" w:lineRule="auto"/>
              <w:jc w:val="center"/>
              <w:rPr>
                <w:rFonts w:hint="default" w:ascii="Times New Roman" w:hAnsi="Times New Roman" w:cs="Times New Roman"/>
                <w:sz w:val="18"/>
                <w:szCs w:val="18"/>
                <w:highlight w:val="yellow"/>
              </w:rPr>
            </w:pPr>
            <w:r>
              <w:rPr>
                <w:rFonts w:hint="default" w:ascii="Times New Roman" w:hAnsi="Times New Roman" w:cs="Times New Roman"/>
                <w:sz w:val="18"/>
                <w:szCs w:val="18"/>
              </w:rPr>
              <w:t>283.50</w:t>
            </w:r>
          </w:p>
        </w:tc>
        <w:tc>
          <w:tcPr>
            <w:tcW w:w="468" w:type="pct"/>
            <w:noWrap/>
            <w:vAlign w:val="center"/>
          </w:tcPr>
          <w:p>
            <w:pPr>
              <w:spacing w:line="240" w:lineRule="auto"/>
              <w:jc w:val="center"/>
              <w:rPr>
                <w:rFonts w:hint="default" w:ascii="Times New Roman" w:hAnsi="Times New Roman" w:cs="Times New Roman"/>
                <w:sz w:val="18"/>
                <w:szCs w:val="18"/>
                <w:highlight w:val="yellow"/>
              </w:rPr>
            </w:pPr>
            <w:r>
              <w:rPr>
                <w:rFonts w:hint="default" w:ascii="Times New Roman" w:hAnsi="Times New Roman" w:cs="Times New Roman"/>
                <w:sz w:val="18"/>
                <w:szCs w:val="18"/>
              </w:rPr>
              <w:t>93.56</w:t>
            </w:r>
          </w:p>
        </w:tc>
        <w:tc>
          <w:tcPr>
            <w:tcW w:w="446"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298.42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 w:type="pct"/>
            <w:noWrap w:val="0"/>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6</w:t>
            </w:r>
          </w:p>
        </w:tc>
        <w:tc>
          <w:tcPr>
            <w:tcW w:w="1632" w:type="pct"/>
            <w:gridSpan w:val="2"/>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S9型变压器损耗</w:t>
            </w:r>
          </w:p>
        </w:tc>
        <w:tc>
          <w:tcPr>
            <w:tcW w:w="463" w:type="pct"/>
            <w:noWrap/>
            <w:vAlign w:val="center"/>
          </w:tcPr>
          <w:p>
            <w:pPr>
              <w:spacing w:line="240" w:lineRule="auto"/>
              <w:jc w:val="center"/>
              <w:rPr>
                <w:rFonts w:hint="default" w:ascii="Times New Roman" w:hAnsi="Times New Roman" w:cs="Times New Roman"/>
                <w:sz w:val="18"/>
                <w:szCs w:val="18"/>
              </w:rPr>
            </w:pPr>
          </w:p>
        </w:tc>
        <w:tc>
          <w:tcPr>
            <w:tcW w:w="360" w:type="pct"/>
            <w:noWrap w:val="0"/>
            <w:vAlign w:val="center"/>
          </w:tcPr>
          <w:p>
            <w:pPr>
              <w:spacing w:line="240" w:lineRule="auto"/>
              <w:jc w:val="center"/>
              <w:rPr>
                <w:rFonts w:hint="default" w:ascii="Times New Roman" w:hAnsi="Times New Roman" w:cs="Times New Roman"/>
                <w:sz w:val="18"/>
                <w:szCs w:val="18"/>
              </w:rPr>
            </w:pPr>
          </w:p>
        </w:tc>
        <w:tc>
          <w:tcPr>
            <w:tcW w:w="333" w:type="pct"/>
            <w:noWrap w:val="0"/>
            <w:vAlign w:val="center"/>
          </w:tcPr>
          <w:p>
            <w:pPr>
              <w:spacing w:line="240" w:lineRule="auto"/>
              <w:jc w:val="center"/>
              <w:rPr>
                <w:rFonts w:hint="default" w:ascii="Times New Roman" w:hAnsi="Times New Roman" w:cs="Times New Roman"/>
                <w:sz w:val="18"/>
                <w:szCs w:val="18"/>
              </w:rPr>
            </w:pPr>
          </w:p>
        </w:tc>
        <w:tc>
          <w:tcPr>
            <w:tcW w:w="323"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371" w:type="pct"/>
            <w:noWrap/>
            <w:vAlign w:val="center"/>
          </w:tcPr>
          <w:p>
            <w:pPr>
              <w:spacing w:line="240" w:lineRule="auto"/>
              <w:jc w:val="center"/>
              <w:rPr>
                <w:rFonts w:hint="default" w:ascii="Times New Roman" w:hAnsi="Times New Roman" w:cs="Times New Roman"/>
                <w:sz w:val="18"/>
                <w:szCs w:val="18"/>
              </w:rPr>
            </w:pPr>
          </w:p>
        </w:tc>
        <w:tc>
          <w:tcPr>
            <w:tcW w:w="419" w:type="pct"/>
            <w:noWrap/>
            <w:vAlign w:val="center"/>
          </w:tcPr>
          <w:p>
            <w:pPr>
              <w:spacing w:line="240" w:lineRule="auto"/>
              <w:jc w:val="center"/>
              <w:rPr>
                <w:rFonts w:hint="default" w:ascii="Times New Roman" w:hAnsi="Times New Roman" w:cs="Times New Roman"/>
                <w:sz w:val="18"/>
                <w:szCs w:val="18"/>
                <w:highlight w:val="yellow"/>
              </w:rPr>
            </w:pPr>
            <w:r>
              <w:rPr>
                <w:rFonts w:hint="default" w:ascii="Times New Roman" w:hAnsi="Times New Roman" w:cs="Times New Roman"/>
                <w:sz w:val="18"/>
                <w:szCs w:val="18"/>
              </w:rPr>
              <w:t>2.98</w:t>
            </w:r>
          </w:p>
        </w:tc>
        <w:tc>
          <w:tcPr>
            <w:tcW w:w="468" w:type="pct"/>
            <w:noWrap/>
            <w:vAlign w:val="center"/>
          </w:tcPr>
          <w:p>
            <w:pPr>
              <w:spacing w:line="240" w:lineRule="auto"/>
              <w:jc w:val="center"/>
              <w:rPr>
                <w:rFonts w:hint="default" w:ascii="Times New Roman" w:hAnsi="Times New Roman" w:cs="Times New Roman"/>
                <w:sz w:val="18"/>
                <w:szCs w:val="18"/>
                <w:highlight w:val="yellow"/>
              </w:rPr>
            </w:pPr>
            <w:r>
              <w:rPr>
                <w:rFonts w:hint="default" w:ascii="Times New Roman" w:hAnsi="Times New Roman" w:cs="Times New Roman"/>
                <w:sz w:val="18"/>
                <w:szCs w:val="18"/>
              </w:rPr>
              <w:t>14.92</w:t>
            </w:r>
          </w:p>
        </w:tc>
        <w:tc>
          <w:tcPr>
            <w:tcW w:w="446" w:type="pct"/>
            <w:noWrap/>
            <w:vAlign w:val="center"/>
          </w:tcPr>
          <w:p>
            <w:pPr>
              <w:spacing w:line="240" w:lineRule="auto"/>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 w:type="pct"/>
            <w:noWrap w:val="0"/>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7</w:t>
            </w:r>
          </w:p>
        </w:tc>
        <w:tc>
          <w:tcPr>
            <w:tcW w:w="1632" w:type="pct"/>
            <w:gridSpan w:val="2"/>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工厂10kV侧总负荷</w:t>
            </w:r>
          </w:p>
        </w:tc>
        <w:tc>
          <w:tcPr>
            <w:tcW w:w="463" w:type="pct"/>
            <w:noWrap/>
            <w:vAlign w:val="center"/>
          </w:tcPr>
          <w:p>
            <w:pPr>
              <w:spacing w:line="240" w:lineRule="auto"/>
              <w:jc w:val="center"/>
              <w:rPr>
                <w:rFonts w:hint="default" w:ascii="Times New Roman" w:hAnsi="Times New Roman" w:cs="Times New Roman"/>
                <w:sz w:val="18"/>
                <w:szCs w:val="18"/>
              </w:rPr>
            </w:pPr>
          </w:p>
        </w:tc>
        <w:tc>
          <w:tcPr>
            <w:tcW w:w="360" w:type="pct"/>
            <w:noWrap w:val="0"/>
            <w:vAlign w:val="center"/>
          </w:tcPr>
          <w:p>
            <w:pPr>
              <w:spacing w:line="240" w:lineRule="auto"/>
              <w:jc w:val="center"/>
              <w:rPr>
                <w:rFonts w:hint="default" w:ascii="Times New Roman" w:hAnsi="Times New Roman" w:cs="Times New Roman"/>
                <w:sz w:val="18"/>
                <w:szCs w:val="18"/>
              </w:rPr>
            </w:pPr>
          </w:p>
        </w:tc>
        <w:tc>
          <w:tcPr>
            <w:tcW w:w="333" w:type="pct"/>
            <w:noWrap w:val="0"/>
            <w:vAlign w:val="center"/>
          </w:tcPr>
          <w:p>
            <w:pPr>
              <w:spacing w:line="240" w:lineRule="auto"/>
              <w:jc w:val="center"/>
              <w:rPr>
                <w:rFonts w:hint="default" w:ascii="Times New Roman" w:hAnsi="Times New Roman" w:cs="Times New Roman"/>
                <w:sz w:val="18"/>
                <w:szCs w:val="18"/>
              </w:rPr>
            </w:pPr>
          </w:p>
        </w:tc>
        <w:tc>
          <w:tcPr>
            <w:tcW w:w="323"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0.94</w:t>
            </w:r>
          </w:p>
        </w:tc>
        <w:tc>
          <w:tcPr>
            <w:tcW w:w="371"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0.36</w:t>
            </w:r>
          </w:p>
        </w:tc>
        <w:tc>
          <w:tcPr>
            <w:tcW w:w="419" w:type="pct"/>
            <w:noWrap/>
            <w:vAlign w:val="center"/>
          </w:tcPr>
          <w:p>
            <w:pPr>
              <w:spacing w:line="240" w:lineRule="auto"/>
              <w:jc w:val="center"/>
              <w:rPr>
                <w:rFonts w:hint="default" w:ascii="Times New Roman" w:hAnsi="Times New Roman" w:cs="Times New Roman"/>
                <w:sz w:val="18"/>
                <w:szCs w:val="18"/>
                <w:highlight w:val="yellow"/>
              </w:rPr>
            </w:pPr>
            <w:r>
              <w:rPr>
                <w:rFonts w:hint="default" w:ascii="Times New Roman" w:hAnsi="Times New Roman" w:cs="Times New Roman"/>
                <w:sz w:val="18"/>
                <w:szCs w:val="18"/>
              </w:rPr>
              <w:t>286.48</w:t>
            </w:r>
          </w:p>
        </w:tc>
        <w:tc>
          <w:tcPr>
            <w:tcW w:w="468" w:type="pct"/>
            <w:noWrap/>
            <w:vAlign w:val="center"/>
          </w:tcPr>
          <w:p>
            <w:pPr>
              <w:spacing w:line="240" w:lineRule="auto"/>
              <w:jc w:val="center"/>
              <w:rPr>
                <w:rFonts w:hint="default" w:ascii="Times New Roman" w:hAnsi="Times New Roman" w:cs="Times New Roman"/>
                <w:sz w:val="18"/>
                <w:szCs w:val="18"/>
                <w:highlight w:val="yellow"/>
              </w:rPr>
            </w:pPr>
            <w:r>
              <w:rPr>
                <w:rFonts w:hint="default" w:ascii="Times New Roman" w:hAnsi="Times New Roman" w:cs="Times New Roman"/>
                <w:sz w:val="18"/>
                <w:szCs w:val="18"/>
              </w:rPr>
              <w:t>108.48</w:t>
            </w:r>
          </w:p>
        </w:tc>
        <w:tc>
          <w:tcPr>
            <w:tcW w:w="446" w:type="pct"/>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304.77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 w:type="pct"/>
            <w:noWrap w:val="0"/>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8</w:t>
            </w:r>
          </w:p>
        </w:tc>
        <w:tc>
          <w:tcPr>
            <w:tcW w:w="1632" w:type="pct"/>
            <w:gridSpan w:val="2"/>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现有的变压器容量</w:t>
            </w:r>
          </w:p>
        </w:tc>
        <w:tc>
          <w:tcPr>
            <w:tcW w:w="3187" w:type="pct"/>
            <w:gridSpan w:val="8"/>
            <w:noWrap/>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厂内现有1台400kVA变压器，负载率为η%=304.77/400×100%=76.2%</w:t>
            </w:r>
          </w:p>
        </w:tc>
      </w:tr>
    </w:tbl>
    <w:p>
      <w:pPr>
        <w:ind w:firstLine="560" w:firstLineChars="200"/>
        <w:rPr>
          <w:rFonts w:hint="default" w:ascii="Times New Roman" w:hAnsi="Times New Roman" w:cs="Times New Roman"/>
        </w:rPr>
      </w:pPr>
      <w:r>
        <w:rPr>
          <w:rFonts w:hint="default" w:ascii="Times New Roman" w:hAnsi="Times New Roman" w:cs="Times New Roman"/>
        </w:rPr>
        <w:t>由上表可知，该</w:t>
      </w:r>
      <w:r>
        <w:rPr>
          <w:rFonts w:hint="eastAsia" w:cs="Times New Roman"/>
          <w:lang w:val="en-US" w:eastAsia="zh-CN"/>
        </w:rPr>
        <w:t>企业</w:t>
      </w:r>
      <w:r>
        <w:rPr>
          <w:rFonts w:hint="default" w:ascii="Times New Roman" w:hAnsi="Times New Roman" w:cs="Times New Roman"/>
        </w:rPr>
        <w:t>设置的变压器能满足生产需求。</w:t>
      </w:r>
    </w:p>
    <w:p>
      <w:pPr>
        <w:ind w:firstLine="560" w:firstLineChars="200"/>
        <w:rPr>
          <w:rFonts w:hint="default" w:ascii="Times New Roman" w:hAnsi="Times New Roman" w:cs="Times New Roman"/>
        </w:rPr>
      </w:pPr>
      <w:r>
        <w:rPr>
          <w:rFonts w:hint="default" w:ascii="Times New Roman" w:hAnsi="Times New Roman" w:cs="Times New Roman"/>
        </w:rPr>
        <w:t>4、敷设方式及照明</w:t>
      </w:r>
    </w:p>
    <w:p>
      <w:pPr>
        <w:ind w:firstLine="560" w:firstLineChars="200"/>
        <w:rPr>
          <w:rFonts w:hint="default" w:ascii="Times New Roman" w:hAnsi="Times New Roman" w:cs="Times New Roman"/>
        </w:rPr>
      </w:pPr>
      <w:r>
        <w:rPr>
          <w:rFonts w:hint="default" w:ascii="Times New Roman" w:hAnsi="Times New Roman" w:cs="Times New Roman"/>
        </w:rPr>
        <w:t>（1）敷设方式</w:t>
      </w:r>
    </w:p>
    <w:p>
      <w:pPr>
        <w:ind w:firstLine="560" w:firstLineChars="200"/>
        <w:rPr>
          <w:rFonts w:hint="default" w:ascii="Times New Roman" w:hAnsi="Times New Roman" w:cs="Times New Roman"/>
        </w:rPr>
      </w:pPr>
      <w:r>
        <w:rPr>
          <w:rFonts w:hint="default" w:ascii="Times New Roman" w:hAnsi="Times New Roman" w:cs="Times New Roman"/>
        </w:rPr>
        <w:t>高压电力电缆选用交联聚乙烯电力电缆YJV22-10KV型；低压动力电力电缆选用YJV-1KV、ZR-YJV-1KV、YFG-1KV（防腐型）等型号；控制电缆选用ZR-KVV-0.5KV型、ZR-KFF-0.5KV（防腐型）型。电缆线路采用电缆沟与直埋相结合敷设方式，电缆出电缆沟后，穿钢管埋地至各生产车间配电箱。在腐蚀环境车间所有电用设备均采用相应防腐等级产品。</w:t>
      </w:r>
    </w:p>
    <w:p>
      <w:pPr>
        <w:ind w:firstLine="560" w:firstLineChars="200"/>
        <w:rPr>
          <w:rFonts w:hint="default" w:ascii="Times New Roman" w:hAnsi="Times New Roman" w:eastAsia="宋体" w:cs="Times New Roman"/>
          <w:lang w:val="en-US" w:eastAsia="zh-CN"/>
        </w:rPr>
      </w:pPr>
      <w:r>
        <w:rPr>
          <w:rFonts w:hint="default" w:ascii="Times New Roman" w:hAnsi="Times New Roman" w:cs="Times New Roman"/>
        </w:rPr>
        <w:t>配电装置选用固定式低压配电柜，由变压器低压侧提供电源至低压配电柜进线柜，再由各低压馈线柜放射式向车间用电设备供电。现场设置机旁操作柱。</w:t>
      </w:r>
    </w:p>
    <w:p>
      <w:pPr>
        <w:ind w:firstLine="560" w:firstLineChars="200"/>
        <w:rPr>
          <w:rFonts w:hint="default" w:ascii="Times New Roman" w:hAnsi="Times New Roman" w:cs="Times New Roman"/>
        </w:rPr>
      </w:pPr>
      <w:r>
        <w:rPr>
          <w:rFonts w:hint="default" w:ascii="Times New Roman" w:hAnsi="Times New Roman" w:cs="Times New Roman"/>
        </w:rPr>
        <w:t>变压器设电流速断保护、定时限过电流、过负荷保护、变压器本体温度保护；0.4KV低压侧进出线柜设置短路保护及过载保护；低压电动机采用短路、缺相及过载保护。</w:t>
      </w:r>
    </w:p>
    <w:p>
      <w:pPr>
        <w:ind w:firstLine="560" w:firstLineChars="200"/>
        <w:rPr>
          <w:rFonts w:hint="default" w:ascii="Times New Roman" w:hAnsi="Times New Roman" w:cs="Times New Roman"/>
        </w:rPr>
      </w:pPr>
      <w:r>
        <w:rPr>
          <w:rFonts w:hint="default" w:ascii="Times New Roman" w:hAnsi="Times New Roman" w:cs="Times New Roman"/>
        </w:rPr>
        <w:t>（2）照明</w:t>
      </w:r>
    </w:p>
    <w:p>
      <w:pPr>
        <w:ind w:firstLine="560" w:firstLineChars="200"/>
        <w:rPr>
          <w:rFonts w:hint="default" w:ascii="Times New Roman" w:hAnsi="Times New Roman" w:cs="Times New Roman"/>
        </w:rPr>
      </w:pPr>
      <w:r>
        <w:rPr>
          <w:rFonts w:hint="default" w:ascii="Times New Roman" w:hAnsi="Times New Roman" w:cs="Times New Roman"/>
        </w:rPr>
        <w:t>根据各场所不同照度要求和环境特征选用不同型式的灯具。该</w:t>
      </w:r>
      <w:r>
        <w:rPr>
          <w:rFonts w:hint="eastAsia" w:cs="Times New Roman"/>
          <w:lang w:val="en-US" w:eastAsia="zh-CN"/>
        </w:rPr>
        <w:t>企业</w:t>
      </w:r>
      <w:r>
        <w:rPr>
          <w:rFonts w:hint="default" w:ascii="Times New Roman" w:hAnsi="Times New Roman" w:cs="Times New Roman"/>
        </w:rPr>
        <w:t>涉及的</w:t>
      </w:r>
      <w:r>
        <w:rPr>
          <w:rFonts w:hint="default" w:ascii="Times New Roman" w:hAnsi="Times New Roman" w:cs="Times New Roman"/>
          <w:lang w:val="en-US" w:eastAsia="zh-CN"/>
        </w:rPr>
        <w:t>各车间和</w:t>
      </w:r>
      <w:r>
        <w:rPr>
          <w:rFonts w:hint="default" w:ascii="Times New Roman" w:hAnsi="Times New Roman" w:cs="Times New Roman"/>
        </w:rPr>
        <w:t>仓库正常情况下不会产生可燃气体，按照环境要求在防腐区内用防腐型灯具，现场照明箱为防腐型。</w:t>
      </w:r>
    </w:p>
    <w:p>
      <w:pPr>
        <w:ind w:firstLine="560" w:firstLineChars="200"/>
        <w:rPr>
          <w:rFonts w:hint="default" w:ascii="Times New Roman" w:hAnsi="Times New Roman" w:cs="Times New Roman"/>
        </w:rPr>
      </w:pPr>
      <w:r>
        <w:rPr>
          <w:rFonts w:hint="default" w:ascii="Times New Roman" w:hAnsi="Times New Roman" w:cs="Times New Roman"/>
        </w:rPr>
        <w:t>照明回路电压为AC 220V；照明光源：室内照明光源以荧光灯为主，室外照明光源以金属卤化物灯为主。</w:t>
      </w:r>
    </w:p>
    <w:p>
      <w:pPr>
        <w:ind w:firstLine="560" w:firstLineChars="200"/>
        <w:rPr>
          <w:rFonts w:hint="default" w:ascii="Times New Roman" w:hAnsi="Times New Roman" w:cs="Times New Roman"/>
        </w:rPr>
      </w:pPr>
      <w:r>
        <w:rPr>
          <w:rFonts w:hint="default" w:ascii="Times New Roman" w:hAnsi="Times New Roman" w:cs="Times New Roman"/>
        </w:rPr>
        <w:t>照度标准：该</w:t>
      </w:r>
      <w:r>
        <w:rPr>
          <w:rFonts w:hint="eastAsia" w:cs="Times New Roman"/>
          <w:lang w:val="en-US" w:eastAsia="zh-CN"/>
        </w:rPr>
        <w:t>企业</w:t>
      </w:r>
      <w:r>
        <w:rPr>
          <w:rFonts w:hint="default" w:ascii="Times New Roman" w:hAnsi="Times New Roman" w:cs="Times New Roman"/>
        </w:rPr>
        <w:t>各场所照度设计按现行国家标准《建筑照明设计标准》GB50034-2013执行，标准如下：一般生产区域  75-100 LX  控制室及操作室  200--300LX；其余部分按国家照度标准执行</w:t>
      </w:r>
    </w:p>
    <w:p>
      <w:pPr>
        <w:ind w:firstLine="560" w:firstLineChars="200"/>
        <w:rPr>
          <w:rFonts w:hint="default" w:ascii="Times New Roman" w:hAnsi="Times New Roman" w:cs="Times New Roman"/>
        </w:rPr>
      </w:pPr>
      <w:r>
        <w:rPr>
          <w:rFonts w:hint="default" w:ascii="Times New Roman" w:hAnsi="Times New Roman" w:cs="Times New Roman"/>
        </w:rPr>
        <w:t>5、防雷、防静电接地</w:t>
      </w:r>
    </w:p>
    <w:p>
      <w:pPr>
        <w:ind w:firstLine="560" w:firstLineChars="200"/>
        <w:rPr>
          <w:rFonts w:hint="default" w:ascii="Times New Roman" w:hAnsi="Times New Roman" w:cs="Times New Roman"/>
        </w:rPr>
      </w:pPr>
      <w:r>
        <w:rPr>
          <w:rFonts w:hint="default" w:ascii="Times New Roman" w:hAnsi="Times New Roman" w:cs="Times New Roman"/>
        </w:rPr>
        <w:t>该企业涉及的101生产车间一、102生产车间二、</w:t>
      </w:r>
      <w:r>
        <w:rPr>
          <w:rFonts w:hint="default" w:ascii="Times New Roman" w:hAnsi="Times New Roman" w:cs="Times New Roman"/>
          <w:lang w:val="en-US" w:eastAsia="zh-CN"/>
        </w:rPr>
        <w:t>103生产车间三、</w:t>
      </w:r>
      <w:r>
        <w:rPr>
          <w:rFonts w:hint="default" w:ascii="Times New Roman" w:hAnsi="Times New Roman" w:cs="Times New Roman"/>
        </w:rPr>
        <w:t>104生产车间</w:t>
      </w:r>
      <w:r>
        <w:rPr>
          <w:rFonts w:hint="default" w:ascii="Times New Roman" w:hAnsi="Times New Roman" w:cs="Times New Roman"/>
          <w:lang w:val="en-US" w:eastAsia="zh-CN"/>
        </w:rPr>
        <w:t>四</w:t>
      </w:r>
      <w:r>
        <w:rPr>
          <w:rFonts w:hint="default" w:ascii="Times New Roman" w:hAnsi="Times New Roman" w:cs="Times New Roman"/>
        </w:rPr>
        <w:t>、</w:t>
      </w:r>
      <w:r>
        <w:rPr>
          <w:rFonts w:hint="default" w:ascii="Times New Roman" w:hAnsi="Times New Roman" w:cs="Times New Roman"/>
          <w:lang w:val="en-US" w:eastAsia="zh-CN"/>
        </w:rPr>
        <w:t>105烘干车间、各仓库、</w:t>
      </w:r>
      <w:r>
        <w:rPr>
          <w:rFonts w:hint="default" w:ascii="Times New Roman" w:hAnsi="Times New Roman" w:cs="Times New Roman"/>
        </w:rPr>
        <w:t>配电间</w:t>
      </w:r>
      <w:r>
        <w:rPr>
          <w:rFonts w:hint="default" w:ascii="Times New Roman" w:hAnsi="Times New Roman" w:cs="Times New Roman"/>
          <w:lang w:eastAsia="zh-CN"/>
        </w:rPr>
        <w:t>、</w:t>
      </w:r>
      <w:r>
        <w:rPr>
          <w:rFonts w:hint="default" w:ascii="Times New Roman" w:hAnsi="Times New Roman" w:cs="Times New Roman"/>
          <w:lang w:val="en-US" w:eastAsia="zh-CN"/>
        </w:rPr>
        <w:t>罐区、办公楼</w:t>
      </w:r>
      <w:r>
        <w:rPr>
          <w:rFonts w:hint="default" w:ascii="Times New Roman" w:hAnsi="Times New Roman" w:cs="Times New Roman"/>
        </w:rPr>
        <w:t>等为第三类防雷建筑物。采用接闪带防直击雷，屋面接闪带网格不大于20m×20m或24m×16m，接闪引下线采用结构柱内四对角主筋（Ф1</w:t>
      </w:r>
      <w:r>
        <w:rPr>
          <w:rFonts w:hint="default" w:ascii="Times New Roman" w:hAnsi="Times New Roman" w:cs="Times New Roman"/>
          <w:lang w:val="en-US" w:eastAsia="zh-CN"/>
        </w:rPr>
        <w:t>2</w:t>
      </w:r>
      <w:r>
        <w:rPr>
          <w:rFonts w:hint="default" w:ascii="Times New Roman" w:hAnsi="Times New Roman" w:cs="Times New Roman"/>
        </w:rPr>
        <w:t>），引下线上与接闪网焊接，下与接地扁钢连通，引下线之间的距离不大于25m。屋顶上所有凸起的金属构筑物等，均与接闪网焊接。所有防雷及接地构件均热镀锌，焊接处做防腐处理。</w:t>
      </w:r>
    </w:p>
    <w:p>
      <w:pPr>
        <w:ind w:firstLine="560" w:firstLineChars="200"/>
        <w:rPr>
          <w:rFonts w:hint="default" w:ascii="Times New Roman" w:hAnsi="Times New Roman" w:cs="Times New Roman"/>
        </w:rPr>
      </w:pPr>
      <w:r>
        <w:rPr>
          <w:rFonts w:hint="default" w:ascii="Times New Roman" w:hAnsi="Times New Roman" w:cs="Times New Roman"/>
        </w:rPr>
        <w:t>201原料罐区和202成品罐区等储罐为</w:t>
      </w:r>
      <w:r>
        <w:rPr>
          <w:rFonts w:hint="eastAsia" w:cs="Times New Roman"/>
          <w:lang w:val="en-US" w:eastAsia="zh-CN"/>
        </w:rPr>
        <w:t>PP</w:t>
      </w:r>
      <w:r>
        <w:rPr>
          <w:rFonts w:hint="default" w:ascii="Times New Roman" w:hAnsi="Times New Roman" w:cs="Times New Roman"/>
        </w:rPr>
        <w:t>材质，</w:t>
      </w:r>
      <w:r>
        <w:rPr>
          <w:rFonts w:hint="eastAsia" w:cs="Times New Roman"/>
          <w:lang w:val="en-US" w:eastAsia="zh-CN"/>
        </w:rPr>
        <w:t>为第三类防雷建筑物，吉林华云气象科技有限公司按第二类防雷建筑物进行检测。201原料罐区和202成品罐区</w:t>
      </w:r>
      <w:r>
        <w:rPr>
          <w:rFonts w:hint="default" w:ascii="Times New Roman" w:hAnsi="Times New Roman" w:cs="Times New Roman"/>
        </w:rPr>
        <w:t>顶部利用铁质栏杆做接闪带，接闪带通过引下线与接地干线相连，接地干线用50×50×5的角钢打地做接地极，并重复接地，接地电阻不大于10欧姆。</w:t>
      </w:r>
    </w:p>
    <w:p>
      <w:pPr>
        <w:ind w:firstLine="560" w:firstLineChars="200"/>
        <w:rPr>
          <w:rFonts w:hint="default" w:ascii="Times New Roman" w:hAnsi="Times New Roman" w:cs="Times New Roman"/>
        </w:rPr>
      </w:pPr>
      <w:r>
        <w:rPr>
          <w:rFonts w:hint="default" w:ascii="Times New Roman" w:hAnsi="Times New Roman" w:cs="Times New Roman"/>
        </w:rPr>
        <w:t>接地系统：各建筑保护方式采用TN-S接地保护方式。采用建筑物地梁底部主钢筋或敷设-40×4热镀锌扁钢作环形连接体，建筑物基础内主钢筋作接地极。防雷接地及电气保护接地均连成一体，组成接地网，接地电阻不大于4欧。设置人工接地极，人工接地极采用长2.5m的L50×50×5热镀锌角钢，接地极水平间距大于5m。所有设备上的电机均利用专用PE线作接地线。室外设备的金属外壳均需与室外接地干线作可靠连接。</w:t>
      </w:r>
    </w:p>
    <w:p>
      <w:pPr>
        <w:ind w:firstLine="560" w:firstLineChars="200"/>
        <w:rPr>
          <w:rFonts w:hint="default" w:ascii="Times New Roman" w:hAnsi="Times New Roman" w:cs="Times New Roman"/>
        </w:rPr>
      </w:pPr>
      <w:r>
        <w:rPr>
          <w:rFonts w:hint="default" w:ascii="Times New Roman" w:hAnsi="Times New Roman" w:cs="Times New Roman"/>
        </w:rPr>
        <w:t>防雷接地、工作接地、保护接地等采用联合接地系统，其接地电阻不大于10欧姆。如达不到要求时增打人工接地极。人工接地极采用不小于L50×50×5×2500的热镀锌角钢，接地极水平间距应大于5米。所有设备上的电机均利用专用PE线作接地线。室外设备的金属外壳均拟与室外接地干线作可靠连接。</w:t>
      </w:r>
    </w:p>
    <w:p>
      <w:pPr>
        <w:ind w:firstLine="560" w:firstLineChars="200"/>
        <w:rPr>
          <w:rFonts w:hint="default" w:ascii="Times New Roman" w:hAnsi="Times New Roman" w:cs="Times New Roman"/>
        </w:rPr>
      </w:pPr>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rPr>
        <w:t>罐区、各车间和仓库经</w:t>
      </w:r>
      <w:r>
        <w:rPr>
          <w:rFonts w:hint="default" w:ascii="Times New Roman" w:hAnsi="Times New Roman" w:cs="Times New Roman"/>
          <w:lang w:eastAsia="zh-CN"/>
        </w:rPr>
        <w:t>吉林华云气象科技有限公司</w:t>
      </w:r>
      <w:r>
        <w:rPr>
          <w:rFonts w:hint="default" w:ascii="Times New Roman" w:hAnsi="Times New Roman" w:cs="Times New Roman"/>
        </w:rPr>
        <w:t>检测，并出具防雷装置检测检验报告，结论为符合防雷技术规范要求，下次检测日期202</w:t>
      </w:r>
      <w:r>
        <w:rPr>
          <w:rFonts w:hint="default" w:ascii="Times New Roman" w:hAnsi="Times New Roman" w:cs="Times New Roman"/>
          <w:lang w:val="en-US" w:eastAsia="zh-CN"/>
        </w:rPr>
        <w:t>3</w:t>
      </w:r>
      <w:r>
        <w:rPr>
          <w:rFonts w:hint="default" w:ascii="Times New Roman" w:hAnsi="Times New Roman" w:cs="Times New Roman"/>
        </w:rPr>
        <w:t>年12月</w:t>
      </w:r>
      <w:r>
        <w:rPr>
          <w:rFonts w:hint="default" w:ascii="Times New Roman" w:hAnsi="Times New Roman" w:cs="Times New Roman"/>
          <w:lang w:val="en-US" w:eastAsia="zh-CN"/>
        </w:rPr>
        <w:t>10</w:t>
      </w:r>
      <w:r>
        <w:rPr>
          <w:rFonts w:hint="default" w:ascii="Times New Roman" w:hAnsi="Times New Roman" w:cs="Times New Roman"/>
        </w:rPr>
        <w:t>日。</w:t>
      </w:r>
    </w:p>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4</w:t>
      </w:r>
      <w:r>
        <w:rPr>
          <w:rFonts w:hint="default" w:ascii="Times New Roman" w:hAnsi="Times New Roman" w:cs="Times New Roman"/>
        </w:rPr>
        <w:t>.2给排水</w:t>
      </w:r>
    </w:p>
    <w:p>
      <w:pPr>
        <w:ind w:firstLine="560" w:firstLineChars="200"/>
        <w:rPr>
          <w:rFonts w:hint="default" w:ascii="Times New Roman" w:hAnsi="Times New Roman" w:cs="Times New Roman"/>
        </w:rPr>
      </w:pPr>
      <w:r>
        <w:rPr>
          <w:rFonts w:hint="default" w:ascii="Times New Roman" w:hAnsi="Times New Roman" w:cs="Times New Roman"/>
        </w:rPr>
        <w:t>(一</w:t>
      </w:r>
      <w:bookmarkStart w:id="24" w:name="_Toc28230"/>
      <w:r>
        <w:rPr>
          <w:rFonts w:hint="default" w:ascii="Times New Roman" w:hAnsi="Times New Roman" w:cs="Times New Roman"/>
        </w:rPr>
        <w:t>)给水水源</w:t>
      </w:r>
    </w:p>
    <w:bookmarkEnd w:id="24"/>
    <w:p>
      <w:pPr>
        <w:ind w:firstLine="560" w:firstLineChars="200"/>
        <w:rPr>
          <w:rFonts w:hint="default" w:ascii="Times New Roman" w:hAnsi="Times New Roman" w:cs="Times New Roman"/>
        </w:rPr>
      </w:pPr>
      <w:bookmarkStart w:id="25" w:name="_Toc343757036"/>
      <w:bookmarkStart w:id="26" w:name="_Toc200367839"/>
      <w:bookmarkStart w:id="27" w:name="_Toc273967109"/>
      <w:bookmarkStart w:id="28" w:name="_Toc259547892"/>
      <w:bookmarkStart w:id="29" w:name="_Toc198014414"/>
      <w:bookmarkStart w:id="30" w:name="_Toc197414824"/>
      <w:bookmarkStart w:id="31" w:name="_Toc330909505"/>
      <w:bookmarkStart w:id="32" w:name="_Toc341261877"/>
      <w:r>
        <w:rPr>
          <w:rFonts w:hint="default" w:ascii="Times New Roman" w:hAnsi="Times New Roman" w:cs="Times New Roman"/>
        </w:rPr>
        <w:t>（1）水源</w:t>
      </w:r>
    </w:p>
    <w:bookmarkEnd w:id="25"/>
    <w:bookmarkEnd w:id="26"/>
    <w:bookmarkEnd w:id="27"/>
    <w:bookmarkEnd w:id="28"/>
    <w:bookmarkEnd w:id="29"/>
    <w:bookmarkEnd w:id="30"/>
    <w:bookmarkEnd w:id="31"/>
    <w:bookmarkEnd w:id="32"/>
    <w:p>
      <w:pPr>
        <w:ind w:firstLine="560" w:firstLineChars="200"/>
        <w:rPr>
          <w:rFonts w:hint="default" w:ascii="Times New Roman" w:hAnsi="Times New Roman" w:cs="Times New Roman"/>
        </w:rPr>
      </w:pPr>
      <w:r>
        <w:rPr>
          <w:rFonts w:hint="default" w:ascii="Times New Roman" w:hAnsi="Times New Roman" w:cs="Times New Roman"/>
        </w:rPr>
        <w:t>厂区给水水源由丰溪河和市政供水提供，市政供水管网主管为DN300，供水压力0.3MPa，接入管为DN100，其水质符合《生活饮用水卫生标准》GB5749-2006。同时，</w:t>
      </w:r>
      <w:r>
        <w:rPr>
          <w:rFonts w:hint="default" w:ascii="Times New Roman" w:hAnsi="Times New Roman" w:cs="Times New Roman"/>
          <w:bCs/>
        </w:rPr>
        <w:t>在丰溪河旁配备有3台（二用一备）水泵（功率分别为15kW二台，一备一用，7.5kW一台），并配备有2台潜水</w:t>
      </w:r>
      <w:r>
        <w:rPr>
          <w:rFonts w:hint="eastAsia" w:cs="Times New Roman"/>
          <w:bCs/>
          <w:lang w:val="en-US" w:eastAsia="zh-CN"/>
        </w:rPr>
        <w:t>消防</w:t>
      </w:r>
      <w:r>
        <w:rPr>
          <w:rFonts w:hint="default" w:ascii="Times New Roman" w:hAnsi="Times New Roman" w:cs="Times New Roman"/>
          <w:bCs/>
        </w:rPr>
        <w:t>泵（22kW），其中2台15kW</w:t>
      </w:r>
      <w:r>
        <w:rPr>
          <w:rFonts w:hint="eastAsia" w:cs="Times New Roman"/>
          <w:bCs/>
          <w:lang w:val="en-US" w:eastAsia="zh-CN"/>
        </w:rPr>
        <w:t>消防稳压</w:t>
      </w:r>
      <w:r>
        <w:rPr>
          <w:rFonts w:hint="default" w:ascii="Times New Roman" w:hAnsi="Times New Roman" w:cs="Times New Roman"/>
          <w:bCs/>
        </w:rPr>
        <w:t>泵和2台22kW潜水</w:t>
      </w:r>
      <w:r>
        <w:rPr>
          <w:rFonts w:hint="eastAsia" w:cs="Times New Roman"/>
          <w:bCs/>
          <w:lang w:val="en-US" w:eastAsia="zh-CN"/>
        </w:rPr>
        <w:t>消防</w:t>
      </w:r>
      <w:r>
        <w:rPr>
          <w:rFonts w:hint="default" w:ascii="Times New Roman" w:hAnsi="Times New Roman" w:cs="Times New Roman"/>
          <w:bCs/>
        </w:rPr>
        <w:t>泵输送至消防管网，7.5kW水泵输送至厂区304循环水池。</w:t>
      </w:r>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rPr>
        <w:t>结合厂区道路工程建设，合理布局给排水、消防水管网，满足生产用水、消防用水和厂区生活用水需要。</w:t>
      </w:r>
    </w:p>
    <w:p>
      <w:pPr>
        <w:ind w:firstLine="560" w:firstLineChars="200"/>
        <w:rPr>
          <w:rFonts w:hint="default" w:ascii="Times New Roman" w:hAnsi="Times New Roman" w:cs="Times New Roman"/>
        </w:rPr>
      </w:pPr>
      <w:r>
        <w:rPr>
          <w:rFonts w:hint="default" w:ascii="Times New Roman" w:hAnsi="Times New Roman" w:cs="Times New Roman"/>
        </w:rPr>
        <w:t>（2）给水系统</w:t>
      </w:r>
    </w:p>
    <w:p>
      <w:pPr>
        <w:ind w:firstLine="560" w:firstLineChars="200"/>
        <w:rPr>
          <w:rFonts w:hint="default" w:ascii="Times New Roman" w:hAnsi="Times New Roman" w:cs="Times New Roman"/>
        </w:rPr>
      </w:pPr>
      <w:r>
        <w:rPr>
          <w:rFonts w:hint="default" w:ascii="Times New Roman" w:hAnsi="Times New Roman" w:cs="Times New Roman"/>
        </w:rPr>
        <w:t>该企业</w:t>
      </w:r>
      <w:r>
        <w:rPr>
          <w:rFonts w:hint="eastAsia" w:cs="Times New Roman"/>
          <w:lang w:val="en-US" w:eastAsia="zh-CN"/>
        </w:rPr>
        <w:t>的生产中</w:t>
      </w:r>
      <w:r>
        <w:rPr>
          <w:rFonts w:hint="default" w:ascii="Times New Roman" w:hAnsi="Times New Roman" w:cs="Times New Roman"/>
          <w:lang w:val="en-US" w:eastAsia="zh-CN"/>
        </w:rPr>
        <w:t>物料</w:t>
      </w:r>
      <w:r>
        <w:rPr>
          <w:rFonts w:hint="default" w:ascii="Times New Roman" w:hAnsi="Times New Roman" w:cs="Times New Roman"/>
        </w:rPr>
        <w:t>水解为0.99m</w:t>
      </w:r>
      <w:r>
        <w:rPr>
          <w:rFonts w:hint="default" w:ascii="Times New Roman" w:hAnsi="Times New Roman" w:cs="Times New Roman"/>
          <w:vertAlign w:val="superscript"/>
        </w:rPr>
        <w:t>3</w:t>
      </w:r>
      <w:r>
        <w:rPr>
          <w:rFonts w:hint="default" w:ascii="Times New Roman" w:hAnsi="Times New Roman" w:cs="Times New Roman"/>
        </w:rPr>
        <w:t>/d，配碱液用水35.6m</w:t>
      </w:r>
      <w:r>
        <w:rPr>
          <w:rFonts w:hint="default" w:ascii="Times New Roman" w:hAnsi="Times New Roman" w:cs="Times New Roman"/>
          <w:vertAlign w:val="superscript"/>
        </w:rPr>
        <w:t>3</w:t>
      </w:r>
      <w:r>
        <w:rPr>
          <w:rFonts w:hint="default" w:ascii="Times New Roman" w:hAnsi="Times New Roman" w:cs="Times New Roman"/>
        </w:rPr>
        <w:t>/d，工艺设备清洗用水5m</w:t>
      </w:r>
      <w:r>
        <w:rPr>
          <w:rFonts w:hint="default" w:ascii="Times New Roman" w:hAnsi="Times New Roman" w:cs="Times New Roman"/>
          <w:vertAlign w:val="superscript"/>
        </w:rPr>
        <w:t>3</w:t>
      </w:r>
      <w:r>
        <w:rPr>
          <w:rFonts w:hint="default" w:ascii="Times New Roman" w:hAnsi="Times New Roman" w:cs="Times New Roman"/>
        </w:rPr>
        <w:t>/d。企业职工生活用水定额按200L/人·日计算，职工平均生活用水量约为</w:t>
      </w:r>
      <w:r>
        <w:rPr>
          <w:rFonts w:hint="default" w:ascii="Times New Roman" w:hAnsi="Times New Roman" w:cs="Times New Roman"/>
          <w:lang w:val="en-US" w:eastAsia="zh-CN"/>
        </w:rPr>
        <w:t>6</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/d。</w:t>
      </w:r>
    </w:p>
    <w:p>
      <w:pPr>
        <w:ind w:firstLine="560" w:firstLineChars="200"/>
        <w:rPr>
          <w:rFonts w:hint="default" w:ascii="Times New Roman" w:hAnsi="Times New Roman" w:cs="Times New Roman"/>
        </w:rPr>
      </w:pPr>
      <w:r>
        <w:rPr>
          <w:rFonts w:hint="default" w:ascii="Times New Roman" w:hAnsi="Times New Roman" w:cs="Times New Roman"/>
        </w:rPr>
        <w:t>①生产给水系统</w:t>
      </w:r>
    </w:p>
    <w:p>
      <w:pPr>
        <w:ind w:firstLine="560" w:firstLineChars="200"/>
        <w:rPr>
          <w:rFonts w:hint="default" w:ascii="Times New Roman" w:hAnsi="Times New Roman" w:cs="Times New Roman"/>
        </w:rPr>
      </w:pPr>
      <w:r>
        <w:rPr>
          <w:rFonts w:hint="default" w:ascii="Times New Roman" w:hAnsi="Times New Roman" w:cs="Times New Roman"/>
        </w:rPr>
        <w:t>该企业工艺中用水用于</w:t>
      </w:r>
      <w:r>
        <w:rPr>
          <w:rFonts w:hint="default" w:ascii="Times New Roman" w:hAnsi="Times New Roman" w:cs="Times New Roman"/>
          <w:lang w:val="en-US" w:eastAsia="zh-CN"/>
        </w:rPr>
        <w:t>物料</w:t>
      </w:r>
      <w:r>
        <w:rPr>
          <w:rFonts w:hint="default" w:ascii="Times New Roman" w:hAnsi="Times New Roman" w:cs="Times New Roman"/>
        </w:rPr>
        <w:t>水解、配</w:t>
      </w:r>
      <w:r>
        <w:rPr>
          <w:rFonts w:hint="default" w:ascii="Times New Roman" w:hAnsi="Times New Roman" w:cs="Times New Roman"/>
          <w:lang w:val="en-US" w:eastAsia="zh-CN"/>
        </w:rPr>
        <w:t>酸</w:t>
      </w:r>
      <w:r>
        <w:rPr>
          <w:rFonts w:hint="default" w:ascii="Times New Roman" w:hAnsi="Times New Roman" w:cs="Times New Roman"/>
        </w:rPr>
        <w:t>、工艺设备清洗，工艺用水量为41.59m</w:t>
      </w:r>
      <w:r>
        <w:rPr>
          <w:rFonts w:hint="default" w:ascii="Times New Roman" w:hAnsi="Times New Roman" w:cs="Times New Roman"/>
          <w:vertAlign w:val="superscript"/>
        </w:rPr>
        <w:t>3</w:t>
      </w:r>
      <w:r>
        <w:rPr>
          <w:rFonts w:hint="default" w:ascii="Times New Roman" w:hAnsi="Times New Roman" w:cs="Times New Roman"/>
        </w:rPr>
        <w:t>/d，由厂区管道供给至各用水单元，供水管为DN1</w:t>
      </w:r>
      <w:r>
        <w:rPr>
          <w:rFonts w:hint="default" w:ascii="Times New Roman" w:hAnsi="Times New Roman" w:cs="Times New Roman"/>
          <w:lang w:val="en-US" w:eastAsia="zh-CN"/>
        </w:rPr>
        <w:t>0</w:t>
      </w:r>
      <w:r>
        <w:rPr>
          <w:rFonts w:hint="default" w:ascii="Times New Roman" w:hAnsi="Times New Roman" w:cs="Times New Roman"/>
        </w:rPr>
        <w:t>0。</w:t>
      </w:r>
    </w:p>
    <w:p>
      <w:pPr>
        <w:ind w:firstLine="560" w:firstLineChars="200"/>
        <w:rPr>
          <w:rFonts w:hint="default" w:ascii="Times New Roman" w:hAnsi="Times New Roman" w:cs="Times New Roman"/>
        </w:rPr>
      </w:pPr>
      <w:r>
        <w:rPr>
          <w:rFonts w:hint="default" w:ascii="Times New Roman" w:hAnsi="Times New Roman" w:cs="Times New Roman"/>
        </w:rPr>
        <w:t>②循环冷却水给水系统</w:t>
      </w:r>
    </w:p>
    <w:p>
      <w:pPr>
        <w:ind w:firstLine="560" w:firstLineChars="200"/>
        <w:rPr>
          <w:rFonts w:hint="default" w:ascii="Times New Roman" w:hAnsi="Times New Roman" w:cs="Times New Roman"/>
        </w:rPr>
      </w:pPr>
      <w:r>
        <w:rPr>
          <w:rFonts w:hint="default" w:ascii="Times New Roman" w:hAnsi="Times New Roman" w:cs="Times New Roman"/>
        </w:rPr>
        <w:t>厂内配置有1座冷却塔（流量为200m</w:t>
      </w:r>
      <w:r>
        <w:rPr>
          <w:rFonts w:hint="default" w:ascii="Times New Roman" w:hAnsi="Times New Roman" w:cs="Times New Roman"/>
          <w:vertAlign w:val="superscript"/>
        </w:rPr>
        <w:t>3</w:t>
      </w:r>
      <w:r>
        <w:rPr>
          <w:rFonts w:hint="default" w:ascii="Times New Roman" w:hAnsi="Times New Roman" w:cs="Times New Roman"/>
        </w:rPr>
        <w:t>/h，总计200m</w:t>
      </w:r>
      <w:r>
        <w:rPr>
          <w:rFonts w:hint="default" w:ascii="Times New Roman" w:hAnsi="Times New Roman" w:cs="Times New Roman"/>
          <w:vertAlign w:val="superscript"/>
        </w:rPr>
        <w:t>3</w:t>
      </w:r>
      <w:r>
        <w:rPr>
          <w:rFonts w:hint="default" w:ascii="Times New Roman" w:hAnsi="Times New Roman" w:cs="Times New Roman"/>
        </w:rPr>
        <w:t>/h），</w:t>
      </w:r>
      <w:r>
        <w:rPr>
          <w:rFonts w:hint="default" w:ascii="Times New Roman" w:hAnsi="Times New Roman" w:cs="Times New Roman"/>
          <w:lang w:val="en-US" w:eastAsia="zh-CN"/>
        </w:rPr>
        <w:t>该</w:t>
      </w:r>
      <w:r>
        <w:rPr>
          <w:rFonts w:hint="eastAsia" w:cs="Times New Roman"/>
          <w:lang w:val="en-US" w:eastAsia="zh-CN"/>
        </w:rPr>
        <w:t>企业</w:t>
      </w:r>
      <w:r>
        <w:rPr>
          <w:rFonts w:hint="default" w:ascii="Times New Roman" w:hAnsi="Times New Roman" w:cs="Times New Roman"/>
        </w:rPr>
        <w:t>循环用水30m</w:t>
      </w:r>
      <w:r>
        <w:rPr>
          <w:rFonts w:hint="default" w:ascii="Times New Roman" w:hAnsi="Times New Roman" w:cs="Times New Roman"/>
          <w:vertAlign w:val="superscript"/>
        </w:rPr>
        <w:t>3</w:t>
      </w:r>
      <w:r>
        <w:rPr>
          <w:rFonts w:hint="default" w:ascii="Times New Roman" w:hAnsi="Times New Roman" w:cs="Times New Roman"/>
        </w:rPr>
        <w:t>/h。同时，该</w:t>
      </w:r>
      <w:r>
        <w:rPr>
          <w:rFonts w:hint="eastAsia" w:cs="Times New Roman"/>
          <w:lang w:val="en-US" w:eastAsia="zh-CN"/>
        </w:rPr>
        <w:t>企业</w:t>
      </w:r>
      <w:r>
        <w:rPr>
          <w:rFonts w:hint="default" w:ascii="Times New Roman" w:hAnsi="Times New Roman" w:cs="Times New Roman"/>
        </w:rPr>
        <w:t>配置了冷水池和水泵。因此，现有冷却塔能满足项目要求。</w:t>
      </w:r>
    </w:p>
    <w:p>
      <w:pPr>
        <w:spacing w:line="240" w:lineRule="auto"/>
        <w:rPr>
          <w:rFonts w:hint="default" w:ascii="Times New Roman" w:hAnsi="Times New Roman" w:eastAsia="宋体" w:cs="Times New Roman"/>
          <w:kern w:val="0"/>
          <w:lang w:eastAsia="zh-CN"/>
        </w:rPr>
      </w:pPr>
      <w:r>
        <w:rPr>
          <w:rFonts w:hint="default" w:ascii="Times New Roman" w:hAnsi="Times New Roman" w:eastAsia="宋体" w:cs="Times New Roman"/>
          <w:kern w:val="0"/>
          <w:lang w:eastAsia="zh-CN"/>
        </w:rPr>
        <w:drawing>
          <wp:inline distT="0" distB="0" distL="114300" distR="114300">
            <wp:extent cx="5758180" cy="2487295"/>
            <wp:effectExtent l="0" t="0" r="7620" b="190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1"/>
                    <a:stretch>
                      <a:fillRect/>
                    </a:stretch>
                  </pic:blipFill>
                  <pic:spPr>
                    <a:xfrm>
                      <a:off x="0" y="0"/>
                      <a:ext cx="5758180" cy="2487295"/>
                    </a:xfrm>
                    <a:prstGeom prst="rect">
                      <a:avLst/>
                    </a:prstGeom>
                  </pic:spPr>
                </pic:pic>
              </a:graphicData>
            </a:graphic>
          </wp:inline>
        </w:drawing>
      </w:r>
    </w:p>
    <w:p>
      <w:pPr>
        <w:ind w:firstLine="560" w:firstLineChars="200"/>
        <w:rPr>
          <w:rFonts w:hint="default" w:ascii="Times New Roman" w:hAnsi="Times New Roman" w:cs="Times New Roman"/>
        </w:rPr>
      </w:pPr>
      <w:r>
        <w:rPr>
          <w:rFonts w:hint="default" w:ascii="Times New Roman" w:hAnsi="Times New Roman" w:cs="Times New Roman"/>
        </w:rPr>
        <w:t>（2）消防给水</w:t>
      </w:r>
    </w:p>
    <w:p>
      <w:pPr>
        <w:ind w:firstLine="560" w:firstLineChars="200"/>
        <w:rPr>
          <w:rFonts w:hint="default" w:ascii="Times New Roman" w:hAnsi="Times New Roman" w:cs="Times New Roman"/>
        </w:rPr>
      </w:pPr>
      <w:r>
        <w:rPr>
          <w:rFonts w:hint="default" w:ascii="Times New Roman" w:hAnsi="Times New Roman" w:cs="Times New Roman"/>
        </w:rPr>
        <w:t>根据报告2.</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eastAsia="zh-CN"/>
        </w:rPr>
        <w:t>9</w:t>
      </w:r>
      <w:r>
        <w:rPr>
          <w:rFonts w:hint="default" w:ascii="Times New Roman" w:hAnsi="Times New Roman" w:cs="Times New Roman"/>
        </w:rPr>
        <w:t>节关于消防用水量的计算得出，项目一次最大消防用水量为</w:t>
      </w:r>
      <w:r>
        <w:rPr>
          <w:rFonts w:hint="default" w:ascii="Times New Roman" w:hAnsi="Times New Roman" w:cs="Times New Roman"/>
          <w:lang w:val="en-US" w:eastAsia="zh-CN"/>
        </w:rPr>
        <w:t>18</w:t>
      </w:r>
      <w:r>
        <w:rPr>
          <w:rFonts w:hint="eastAsia" w:cs="Times New Roman"/>
          <w:lang w:val="en-US" w:eastAsia="zh-CN"/>
        </w:rPr>
        <w:t>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。该企业消防给水系统采用临时高压消防系统，并且项目配置ZW-Ⅱ-X-C消防稳压系统。公司利用丰溪河为厂区消防供水，在丰溪河旁设置有消防水泵4台，二备二用。2台流量为100m</w:t>
      </w:r>
      <w:r>
        <w:rPr>
          <w:rFonts w:hint="default" w:ascii="Times New Roman" w:hAnsi="Times New Roman" w:cs="Times New Roman"/>
          <w:vertAlign w:val="superscript"/>
        </w:rPr>
        <w:t>3</w:t>
      </w:r>
      <w:r>
        <w:rPr>
          <w:rFonts w:hint="default" w:ascii="Times New Roman" w:hAnsi="Times New Roman" w:cs="Times New Roman"/>
        </w:rPr>
        <w:t>/h（约合27.8L/s），N=22kW潜水消防泵；2台流量为30m</w:t>
      </w:r>
      <w:r>
        <w:rPr>
          <w:rFonts w:hint="default" w:ascii="Times New Roman" w:hAnsi="Times New Roman" w:cs="Times New Roman"/>
          <w:vertAlign w:val="superscript"/>
        </w:rPr>
        <w:t>3</w:t>
      </w:r>
      <w:r>
        <w:rPr>
          <w:rFonts w:hint="default" w:ascii="Times New Roman" w:hAnsi="Times New Roman" w:cs="Times New Roman"/>
        </w:rPr>
        <w:t>/h（约合8.3L/s），N=15kW消防稳压泵。</w:t>
      </w:r>
    </w:p>
    <w:p>
      <w:pPr>
        <w:ind w:firstLine="560" w:firstLineChars="200"/>
        <w:rPr>
          <w:rFonts w:hint="default" w:ascii="Times New Roman" w:hAnsi="Times New Roman" w:cs="Times New Roman"/>
        </w:rPr>
      </w:pPr>
      <w:r>
        <w:rPr>
          <w:rFonts w:hint="default" w:ascii="Times New Roman" w:hAnsi="Times New Roman" w:cs="Times New Roman"/>
        </w:rPr>
        <w:t>（3）排水</w:t>
      </w:r>
    </w:p>
    <w:p>
      <w:pPr>
        <w:ind w:firstLine="560" w:firstLineChars="200"/>
        <w:rPr>
          <w:rFonts w:hint="default" w:ascii="Times New Roman" w:hAnsi="Times New Roman" w:cs="Times New Roman"/>
        </w:rPr>
      </w:pPr>
      <w:r>
        <w:rPr>
          <w:rFonts w:hint="default" w:ascii="Times New Roman" w:hAnsi="Times New Roman" w:cs="Times New Roman"/>
        </w:rPr>
        <w:t>该企业生产污水，经公司污水处理系统处理，达标后排入园区污水管网；该</w:t>
      </w:r>
      <w:r>
        <w:rPr>
          <w:rFonts w:hint="eastAsia" w:cs="Times New Roman"/>
          <w:lang w:val="en-US" w:eastAsia="zh-CN"/>
        </w:rPr>
        <w:t>企业</w:t>
      </w:r>
      <w:r>
        <w:rPr>
          <w:rFonts w:hint="default" w:ascii="Times New Roman" w:hAnsi="Times New Roman" w:cs="Times New Roman"/>
        </w:rPr>
        <w:t>中后期雨水排入厂内雨排系统排至厂外，初期雨水收集后送入污水处理池处理，处理达标后排入园区污水管网；生活污水经化粪池排入该</w:t>
      </w:r>
      <w:r>
        <w:rPr>
          <w:rFonts w:hint="eastAsia" w:cs="Times New Roman"/>
          <w:lang w:val="en-US" w:eastAsia="zh-CN"/>
        </w:rPr>
        <w:t>企业</w:t>
      </w:r>
      <w:r>
        <w:rPr>
          <w:rFonts w:hint="default" w:ascii="Times New Roman" w:hAnsi="Times New Roman" w:cs="Times New Roman"/>
        </w:rPr>
        <w:t>污水处理系统处理后排入工业园区污水管道。</w:t>
      </w:r>
    </w:p>
    <w:p>
      <w:pPr>
        <w:ind w:firstLine="560" w:firstLineChars="200"/>
        <w:rPr>
          <w:rFonts w:hint="default" w:ascii="Times New Roman" w:hAnsi="Times New Roman" w:cs="Times New Roman"/>
        </w:rPr>
      </w:pPr>
      <w:r>
        <w:rPr>
          <w:rFonts w:hint="default" w:ascii="Times New Roman" w:hAnsi="Times New Roman" w:cs="Times New Roman"/>
        </w:rPr>
        <w:t>1、排水系统现状</w:t>
      </w:r>
    </w:p>
    <w:p>
      <w:pPr>
        <w:ind w:firstLine="560" w:firstLineChars="200"/>
        <w:rPr>
          <w:rFonts w:hint="default" w:ascii="Times New Roman" w:hAnsi="Times New Roman" w:cs="Times New Roman"/>
        </w:rPr>
      </w:pPr>
      <w:r>
        <w:rPr>
          <w:rFonts w:hint="default" w:ascii="Times New Roman" w:hAnsi="Times New Roman" w:cs="Times New Roman"/>
        </w:rPr>
        <w:t>公司建有完善的生产污水、生活污水系统，工业净下水系统。</w:t>
      </w:r>
    </w:p>
    <w:p>
      <w:pPr>
        <w:ind w:firstLine="560" w:firstLineChars="200"/>
        <w:rPr>
          <w:rFonts w:hint="default" w:ascii="Times New Roman" w:hAnsi="Times New Roman" w:cs="Times New Roman"/>
        </w:rPr>
      </w:pPr>
      <w:r>
        <w:rPr>
          <w:rFonts w:hint="default" w:ascii="Times New Roman" w:hAnsi="Times New Roman" w:cs="Times New Roman"/>
        </w:rPr>
        <w:t>该企业排水系统采用雨水和污水分流排放体制。清净雨水收集后排入厂内雨排系统；地面冲洗水进入收集池，排入厂内污水系统。生活污水经化粪池排入厂区污水处理系统处理后排入工业园区污水管道。</w:t>
      </w:r>
    </w:p>
    <w:p>
      <w:pPr>
        <w:ind w:firstLine="560" w:firstLineChars="200"/>
        <w:rPr>
          <w:rFonts w:hint="default" w:ascii="Times New Roman" w:hAnsi="Times New Roman" w:cs="Times New Roman"/>
        </w:rPr>
      </w:pPr>
      <w:r>
        <w:rPr>
          <w:rFonts w:hint="default" w:ascii="Times New Roman" w:hAnsi="Times New Roman" w:cs="Times New Roman"/>
        </w:rPr>
        <w:t>2、生产废水系统</w:t>
      </w:r>
    </w:p>
    <w:p>
      <w:pPr>
        <w:ind w:firstLine="560" w:firstLineChars="200"/>
        <w:rPr>
          <w:rFonts w:hint="default" w:ascii="Times New Roman" w:hAnsi="Times New Roman" w:cs="Times New Roman"/>
        </w:rPr>
      </w:pPr>
      <w:r>
        <w:rPr>
          <w:rFonts w:hint="default" w:ascii="Times New Roman" w:hAnsi="Times New Roman" w:cs="Times New Roman"/>
        </w:rPr>
        <w:t>该企业生产废水主要为设备清洗地面冲洗水排水，废水量为15m</w:t>
      </w:r>
      <w:r>
        <w:rPr>
          <w:rFonts w:hint="default" w:ascii="Times New Roman" w:hAnsi="Times New Roman" w:cs="Times New Roman"/>
          <w:vertAlign w:val="superscript"/>
        </w:rPr>
        <w:t>3</w:t>
      </w:r>
      <w:r>
        <w:rPr>
          <w:rFonts w:hint="default" w:ascii="Times New Roman" w:hAnsi="Times New Roman" w:cs="Times New Roman"/>
        </w:rPr>
        <w:t>/d，收集后进入污水处理系统进行处理，达标后排放。</w:t>
      </w:r>
    </w:p>
    <w:p>
      <w:pPr>
        <w:ind w:firstLine="560" w:firstLineChars="200"/>
        <w:rPr>
          <w:rFonts w:hint="default" w:ascii="Times New Roman" w:hAnsi="Times New Roman" w:cs="Times New Roman"/>
        </w:rPr>
      </w:pPr>
      <w:r>
        <w:rPr>
          <w:rFonts w:hint="default" w:ascii="Times New Roman" w:hAnsi="Times New Roman" w:cs="Times New Roman"/>
        </w:rPr>
        <w:t>3、生活污水系统</w:t>
      </w:r>
    </w:p>
    <w:p>
      <w:pPr>
        <w:ind w:firstLine="560" w:firstLineChars="200"/>
        <w:rPr>
          <w:rFonts w:hint="default" w:ascii="Times New Roman" w:hAnsi="Times New Roman" w:cs="Times New Roman"/>
        </w:rPr>
      </w:pPr>
      <w:r>
        <w:rPr>
          <w:rFonts w:hint="default" w:ascii="Times New Roman" w:hAnsi="Times New Roman" w:cs="Times New Roman"/>
        </w:rPr>
        <w:t>该企业生活污水量为</w:t>
      </w:r>
      <w:r>
        <w:rPr>
          <w:rFonts w:hint="default" w:ascii="Times New Roman" w:hAnsi="Times New Roman" w:cs="Times New Roman"/>
          <w:lang w:val="en-US" w:eastAsia="zh-CN"/>
        </w:rPr>
        <w:t>5</w:t>
      </w:r>
      <w:r>
        <w:rPr>
          <w:rFonts w:hint="default" w:ascii="Times New Roman" w:hAnsi="Times New Roman" w:cs="Times New Roman"/>
        </w:rPr>
        <w:t>.92m</w:t>
      </w:r>
      <w:r>
        <w:rPr>
          <w:rFonts w:hint="default" w:ascii="Times New Roman" w:hAnsi="Times New Roman" w:cs="Times New Roman"/>
          <w:vertAlign w:val="superscript"/>
        </w:rPr>
        <w:t>3</w:t>
      </w:r>
      <w:r>
        <w:rPr>
          <w:rFonts w:hint="default" w:ascii="Times New Roman" w:hAnsi="Times New Roman" w:cs="Times New Roman"/>
        </w:rPr>
        <w:t>/d，粪便污水、洗涤污水经化粪池排入厂区污水处理系统处理后排入工业园区污水管道。</w:t>
      </w:r>
    </w:p>
    <w:p>
      <w:pPr>
        <w:ind w:firstLine="560" w:firstLineChars="200"/>
        <w:rPr>
          <w:rFonts w:hint="default" w:ascii="Times New Roman" w:hAnsi="Times New Roman" w:cs="Times New Roman"/>
        </w:rPr>
      </w:pPr>
      <w:r>
        <w:rPr>
          <w:rFonts w:hint="default" w:ascii="Times New Roman" w:hAnsi="Times New Roman" w:cs="Times New Roman"/>
        </w:rPr>
        <w:t>4、</w:t>
      </w:r>
      <w:r>
        <w:rPr>
          <w:rFonts w:hint="eastAsia" w:cs="Times New Roman"/>
          <w:lang w:val="en-US" w:eastAsia="zh-CN"/>
        </w:rPr>
        <w:t>初期</w:t>
      </w:r>
      <w:r>
        <w:rPr>
          <w:rFonts w:hint="default" w:ascii="Times New Roman" w:hAnsi="Times New Roman" w:cs="Times New Roman"/>
        </w:rPr>
        <w:t>雨水系统</w:t>
      </w:r>
    </w:p>
    <w:p>
      <w:pPr>
        <w:ind w:firstLine="560" w:firstLineChars="200"/>
        <w:rPr>
          <w:rFonts w:hint="default" w:ascii="Times New Roman" w:hAnsi="Times New Roman" w:cs="Times New Roman"/>
        </w:rPr>
      </w:pPr>
      <w:r>
        <w:rPr>
          <w:rFonts w:hint="default" w:ascii="Times New Roman" w:hAnsi="Times New Roman" w:cs="Times New Roman"/>
        </w:rPr>
        <w:t>该企业净雨水经雨水管网或明沟收集后排入市政雨水管道，雨水设计重现期采用2年，暴雨强度公式：q=1386(1+0.69lgTE)/(t+1.4)0.64；室外设备区初期污染雨水收集后通过阀门切换重力流排至厂区生产污水管道，一次初期雨水最大量为7.2m</w:t>
      </w:r>
      <w:r>
        <w:rPr>
          <w:rFonts w:hint="default" w:ascii="Times New Roman" w:hAnsi="Times New Roman" w:cs="Times New Roman"/>
          <w:vertAlign w:val="superscript"/>
        </w:rPr>
        <w:t>3</w:t>
      </w:r>
      <w:r>
        <w:rPr>
          <w:rFonts w:hint="default" w:ascii="Times New Roman" w:hAnsi="Times New Roman" w:cs="Times New Roman"/>
        </w:rPr>
        <w:t>，后期净雨水排入雨水管道。</w:t>
      </w:r>
    </w:p>
    <w:p>
      <w:pPr>
        <w:ind w:firstLine="560" w:firstLineChars="200"/>
        <w:rPr>
          <w:rFonts w:hint="default" w:ascii="Times New Roman" w:hAnsi="Times New Roman" w:cs="Times New Roman"/>
        </w:rPr>
      </w:pPr>
      <w:r>
        <w:rPr>
          <w:rFonts w:hint="default" w:ascii="Times New Roman" w:hAnsi="Times New Roman" w:cs="Times New Roman"/>
        </w:rPr>
        <w:t>5、消防废水系统</w:t>
      </w:r>
    </w:p>
    <w:p>
      <w:pPr>
        <w:ind w:firstLine="560" w:firstLineChars="200"/>
        <w:rPr>
          <w:rFonts w:hint="default" w:ascii="Times New Roman" w:hAnsi="Times New Roman" w:cs="Times New Roman"/>
        </w:rPr>
      </w:pPr>
      <w:r>
        <w:rPr>
          <w:rFonts w:hint="default" w:ascii="Times New Roman" w:hAnsi="Times New Roman" w:cs="Times New Roman"/>
        </w:rPr>
        <w:t>消防时消防废水通过厂区雨水明沟收集，后经阀门切换，先进入清净下水池，待水质检测合格后，</w:t>
      </w:r>
      <w:r>
        <w:rPr>
          <w:rFonts w:hint="eastAsia" w:cs="Times New Roman"/>
          <w:lang w:val="en-US" w:eastAsia="zh-CN"/>
        </w:rPr>
        <w:t>再</w:t>
      </w:r>
      <w:r>
        <w:rPr>
          <w:rFonts w:hint="default" w:ascii="Times New Roman" w:hAnsi="Times New Roman" w:cs="Times New Roman"/>
        </w:rPr>
        <w:t>经处理达标后排放。</w:t>
      </w:r>
    </w:p>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4</w:t>
      </w:r>
      <w:r>
        <w:rPr>
          <w:rFonts w:hint="default" w:ascii="Times New Roman" w:hAnsi="Times New Roman" w:cs="Times New Roman"/>
        </w:rPr>
        <w:t>.3供气</w:t>
      </w:r>
    </w:p>
    <w:p>
      <w:pPr>
        <w:ind w:firstLine="560" w:firstLineChars="200"/>
        <w:rPr>
          <w:rFonts w:hint="default" w:ascii="Times New Roman" w:hAnsi="Times New Roman" w:cs="Times New Roman"/>
        </w:rPr>
      </w:pPr>
      <w:r>
        <w:rPr>
          <w:rFonts w:hint="default" w:ascii="Times New Roman" w:hAnsi="Times New Roman" w:cs="Times New Roman"/>
        </w:rPr>
        <w:t>该企业在201原料罐区装卸区空地布置1台5Nm³/min移动式螺杆式空压机，型号JAC30A-8，采用柴油作为动力。压缩空气总管引一路去仪表空气缓冲罐，压缩空气总管的压缩空气进入干燥系统除油脱水后进入1m³仪表空气储罐（设计压力0.8MPa）</w:t>
      </w:r>
      <w:r>
        <w:rPr>
          <w:rFonts w:hint="default" w:ascii="Times New Roman" w:hAnsi="Times New Roman" w:cs="Times New Roman"/>
          <w:lang w:eastAsia="zh-CN"/>
        </w:rPr>
        <w:t>，</w:t>
      </w:r>
      <w:r>
        <w:rPr>
          <w:rFonts w:hint="default" w:ascii="Times New Roman" w:hAnsi="Times New Roman" w:cs="Times New Roman"/>
        </w:rPr>
        <w:t>工艺上压缩空气仅用作检修时设备吹扫、置换。</w:t>
      </w:r>
    </w:p>
    <w:p>
      <w:pPr>
        <w:pStyle w:val="5"/>
        <w:ind w:left="560"/>
        <w:rPr>
          <w:rFonts w:hint="default" w:ascii="Times New Roman" w:hAnsi="Times New Roman" w:eastAsia="宋体" w:cs="Times New Roman"/>
          <w:lang w:eastAsia="zh-CN"/>
        </w:rPr>
      </w:pPr>
      <w:r>
        <w:rPr>
          <w:rFonts w:hint="default" w:ascii="Times New Roman" w:hAnsi="Times New Roman" w:cs="Times New Roman"/>
        </w:rPr>
        <w:t>2.</w:t>
      </w:r>
      <w:r>
        <w:rPr>
          <w:rFonts w:hint="default" w:ascii="Times New Roman" w:hAnsi="Times New Roman" w:cs="Times New Roman"/>
          <w:lang w:val="en-US" w:eastAsia="zh-CN"/>
        </w:rPr>
        <w:t>4</w:t>
      </w:r>
      <w:r>
        <w:rPr>
          <w:rFonts w:hint="default" w:ascii="Times New Roman" w:hAnsi="Times New Roman" w:cs="Times New Roman"/>
        </w:rPr>
        <w:t>.4自动控制</w:t>
      </w:r>
      <w:r>
        <w:rPr>
          <w:rFonts w:hint="default" w:ascii="Times New Roman" w:hAnsi="Times New Roman" w:cs="Times New Roman"/>
          <w:lang w:val="en-US" w:eastAsia="zh-CN"/>
        </w:rPr>
        <w:t>系统</w:t>
      </w:r>
    </w:p>
    <w:p>
      <w:pPr>
        <w:ind w:firstLine="560" w:firstLineChars="200"/>
        <w:rPr>
          <w:rFonts w:hint="default" w:ascii="Times New Roman" w:hAnsi="Times New Roman" w:cs="Times New Roman"/>
        </w:rPr>
      </w:pPr>
      <w:r>
        <w:rPr>
          <w:rFonts w:hint="default" w:ascii="Times New Roman" w:hAnsi="Times New Roman" w:cs="Times New Roman"/>
        </w:rPr>
        <w:t>1、该企业根据工艺特征，主要为就地控制，部分生产装置采用控制室集中控制及就地控制相结合的方式。</w:t>
      </w:r>
    </w:p>
    <w:p>
      <w:pPr>
        <w:ind w:firstLine="560" w:firstLineChars="200"/>
        <w:rPr>
          <w:rFonts w:hint="default" w:ascii="Times New Roman" w:hAnsi="Times New Roman" w:cs="Times New Roman"/>
        </w:rPr>
      </w:pPr>
      <w:r>
        <w:rPr>
          <w:rFonts w:hint="default" w:ascii="Times New Roman" w:hAnsi="Times New Roman" w:cs="Times New Roman"/>
        </w:rPr>
        <w:t>2、该企业在</w:t>
      </w:r>
      <w:r>
        <w:rPr>
          <w:rFonts w:hint="default" w:ascii="Times New Roman" w:hAnsi="Times New Roman" w:cs="Times New Roman"/>
          <w:lang w:val="en-US" w:eastAsia="zh-CN"/>
        </w:rPr>
        <w:t>309半成品仓库二</w:t>
      </w:r>
      <w:r>
        <w:rPr>
          <w:rFonts w:hint="default" w:ascii="Times New Roman" w:hAnsi="Times New Roman" w:cs="Times New Roman"/>
        </w:rPr>
        <w:t>设置了控制室</w:t>
      </w:r>
      <w:r>
        <w:rPr>
          <w:rFonts w:hint="default" w:ascii="Times New Roman" w:hAnsi="Times New Roman" w:cs="Times New Roman"/>
          <w:lang w:eastAsia="zh-CN"/>
        </w:rPr>
        <w:t>（</w:t>
      </w:r>
      <w:r>
        <w:rPr>
          <w:rFonts w:hint="default" w:ascii="Times New Roman" w:hAnsi="Times New Roman" w:cs="Times New Roman"/>
          <w:lang w:val="en-US" w:eastAsia="zh-CN"/>
        </w:rPr>
        <w:t>经自动化提升改造后，将搬至402生产研发楼）</w:t>
      </w:r>
      <w:r>
        <w:rPr>
          <w:rFonts w:hint="default" w:ascii="Times New Roman" w:hAnsi="Times New Roman" w:cs="Times New Roman"/>
        </w:rPr>
        <w:t>。控制室设有事故照明系统，并有自带的蓄电池保证供电，事故照明的照度为30~50lx。控制室设置有生产电话、行政电话和调度电话进行通讯。</w:t>
      </w:r>
    </w:p>
    <w:p>
      <w:pPr>
        <w:ind w:firstLine="560" w:firstLineChars="200"/>
        <w:rPr>
          <w:rFonts w:hint="default" w:ascii="Times New Roman" w:hAnsi="Times New Roman" w:cs="Times New Roman"/>
        </w:rPr>
      </w:pPr>
      <w:r>
        <w:rPr>
          <w:rFonts w:hint="default" w:ascii="Times New Roman" w:hAnsi="Times New Roman" w:cs="Times New Roman"/>
        </w:rPr>
        <w:t>3、控制系统主要控制方案</w:t>
      </w:r>
    </w:p>
    <w:p>
      <w:pPr>
        <w:ind w:firstLine="560" w:firstLineChars="200"/>
        <w:rPr>
          <w:rFonts w:hint="default" w:ascii="Times New Roman" w:hAnsi="Times New Roman" w:cs="Times New Roman"/>
        </w:rPr>
      </w:pPr>
      <w:r>
        <w:rPr>
          <w:rFonts w:hint="default" w:ascii="Times New Roman" w:hAnsi="Times New Roman" w:cs="Times New Roman"/>
        </w:rPr>
        <w:t>该企业控制室设置了</w:t>
      </w:r>
      <w:r>
        <w:rPr>
          <w:rFonts w:hint="default" w:ascii="Times New Roman" w:hAnsi="Times New Roman" w:cs="Times New Roman"/>
          <w:lang w:val="en-US" w:eastAsia="zh-CN"/>
        </w:rPr>
        <w:t>PLC</w:t>
      </w:r>
      <w:r>
        <w:rPr>
          <w:rFonts w:hint="default" w:ascii="Times New Roman" w:hAnsi="Times New Roman" w:cs="Times New Roman"/>
        </w:rPr>
        <w:t>控制系统，</w:t>
      </w:r>
      <w:r>
        <w:rPr>
          <w:rFonts w:hint="default" w:ascii="Times New Roman" w:hAnsi="Times New Roman" w:cs="Times New Roman"/>
          <w:lang w:val="en-US" w:eastAsia="zh-CN"/>
        </w:rPr>
        <w:t>PLC</w:t>
      </w:r>
      <w:r>
        <w:rPr>
          <w:rFonts w:hint="default" w:ascii="Times New Roman" w:hAnsi="Times New Roman" w:cs="Times New Roman"/>
        </w:rPr>
        <w:t>系统控制如下：</w:t>
      </w:r>
    </w:p>
    <w:p>
      <w:pPr>
        <w:ind w:firstLine="560" w:firstLineChars="200"/>
        <w:rPr>
          <w:rFonts w:hint="default" w:ascii="Times New Roman" w:hAnsi="Times New Roman" w:cs="Times New Roman"/>
        </w:rPr>
      </w:pPr>
      <w:r>
        <w:rPr>
          <w:rFonts w:hint="default" w:ascii="Times New Roman" w:hAnsi="Times New Roman" w:cs="Times New Roman"/>
        </w:rPr>
        <w:t>罐区40%有水氢氟酸储罐原料输送泵与车间内有水氢氟酸原料计量槽液位联锁。40%有水氢氟酸储罐液位高限设置为2.3m，低限设置为0.2m。</w:t>
      </w:r>
    </w:p>
    <w:p>
      <w:pPr>
        <w:ind w:firstLine="560" w:firstLineChars="200"/>
        <w:rPr>
          <w:rFonts w:hint="default" w:ascii="Times New Roman" w:hAnsi="Times New Roman" w:cs="Times New Roman"/>
        </w:rPr>
      </w:pPr>
      <w:r>
        <w:rPr>
          <w:rFonts w:hint="default" w:ascii="Times New Roman" w:hAnsi="Times New Roman" w:cs="Times New Roman"/>
        </w:rPr>
        <w:t>4、现场仪表选型</w:t>
      </w:r>
    </w:p>
    <w:p>
      <w:pPr>
        <w:ind w:firstLine="600" w:firstLineChars="200"/>
        <w:rPr>
          <w:rFonts w:hint="default" w:ascii="Times New Roman" w:hAnsi="Times New Roman" w:cs="Times New Roman"/>
          <w:sz w:val="30"/>
          <w:szCs w:val="30"/>
        </w:rPr>
      </w:pPr>
      <w:r>
        <w:rPr>
          <w:rFonts w:hint="default" w:ascii="Times New Roman" w:hAnsi="Times New Roman" w:cs="Times New Roman"/>
          <w:sz w:val="30"/>
          <w:szCs w:val="30"/>
          <w:lang w:val="en-US" w:eastAsia="zh-CN"/>
        </w:rPr>
        <w:t>1）</w:t>
      </w:r>
      <w:r>
        <w:rPr>
          <w:rFonts w:hint="default" w:ascii="Times New Roman" w:hAnsi="Times New Roman" w:cs="Times New Roman"/>
          <w:sz w:val="30"/>
          <w:szCs w:val="30"/>
        </w:rPr>
        <w:t>温度测量仪表：根据工艺要求，需要集中检测的工艺参数的温度传感器使用分度号为Pt100的热电阻。就地指示的温度选用双金属温度计。</w:t>
      </w:r>
    </w:p>
    <w:p>
      <w:pPr>
        <w:ind w:firstLine="600" w:firstLineChars="200"/>
        <w:rPr>
          <w:rFonts w:hint="default" w:ascii="Times New Roman" w:hAnsi="Times New Roman" w:cs="Times New Roman"/>
          <w:sz w:val="30"/>
          <w:szCs w:val="30"/>
        </w:rPr>
      </w:pPr>
      <w:r>
        <w:rPr>
          <w:rFonts w:hint="default" w:ascii="Times New Roman" w:hAnsi="Times New Roman" w:cs="Times New Roman"/>
          <w:sz w:val="30"/>
          <w:szCs w:val="30"/>
          <w:lang w:val="en-US" w:eastAsia="zh-CN"/>
        </w:rPr>
        <w:t>2）</w:t>
      </w:r>
      <w:r>
        <w:rPr>
          <w:rFonts w:hint="default" w:ascii="Times New Roman" w:hAnsi="Times New Roman" w:cs="Times New Roman"/>
          <w:sz w:val="30"/>
          <w:szCs w:val="30"/>
        </w:rPr>
        <w:t>压力测量仪表。就地指示一般采用不锈钢压力表，对于腐蚀性较强的介质选用隔膜压力表，机械震动较强的场合选用耐震压力表。</w:t>
      </w:r>
    </w:p>
    <w:p>
      <w:pPr>
        <w:ind w:firstLine="600" w:firstLineChars="200"/>
        <w:rPr>
          <w:rFonts w:hint="default" w:ascii="Times New Roman" w:hAnsi="Times New Roman" w:cs="Times New Roman"/>
          <w:sz w:val="30"/>
          <w:szCs w:val="30"/>
        </w:rPr>
      </w:pPr>
      <w:r>
        <w:rPr>
          <w:rFonts w:hint="default" w:ascii="Times New Roman" w:hAnsi="Times New Roman" w:cs="Times New Roman"/>
          <w:sz w:val="30"/>
          <w:szCs w:val="30"/>
          <w:lang w:val="en-US" w:eastAsia="zh-CN"/>
        </w:rPr>
        <w:t>3）</w:t>
      </w:r>
      <w:r>
        <w:rPr>
          <w:rFonts w:hint="default" w:ascii="Times New Roman" w:hAnsi="Times New Roman" w:cs="Times New Roman"/>
          <w:sz w:val="30"/>
          <w:szCs w:val="30"/>
        </w:rPr>
        <w:t>流量仪表。选用防腐型电磁流量计。</w:t>
      </w:r>
    </w:p>
    <w:p>
      <w:pPr>
        <w:ind w:firstLine="600" w:firstLineChars="200"/>
        <w:rPr>
          <w:rFonts w:hint="default" w:ascii="Times New Roman" w:hAnsi="Times New Roman" w:cs="Times New Roman"/>
          <w:sz w:val="30"/>
          <w:szCs w:val="30"/>
        </w:rPr>
      </w:pPr>
      <w:r>
        <w:rPr>
          <w:rFonts w:hint="default" w:ascii="Times New Roman" w:hAnsi="Times New Roman" w:cs="Times New Roman"/>
          <w:sz w:val="30"/>
          <w:szCs w:val="30"/>
          <w:lang w:val="en-US" w:eastAsia="zh-CN"/>
        </w:rPr>
        <w:t>4）</w:t>
      </w:r>
      <w:r>
        <w:rPr>
          <w:rFonts w:hint="default" w:ascii="Times New Roman" w:hAnsi="Times New Roman" w:cs="Times New Roman"/>
          <w:sz w:val="30"/>
          <w:szCs w:val="30"/>
        </w:rPr>
        <w:t>液位及界面仪表。选用防腐型液位仪表。</w:t>
      </w:r>
    </w:p>
    <w:p>
      <w:pPr>
        <w:ind w:firstLine="600" w:firstLineChars="200"/>
        <w:rPr>
          <w:rFonts w:hint="default" w:ascii="Times New Roman" w:hAnsi="Times New Roman" w:cs="Times New Roman"/>
          <w:sz w:val="30"/>
          <w:szCs w:val="30"/>
        </w:rPr>
      </w:pPr>
      <w:r>
        <w:rPr>
          <w:rFonts w:hint="default" w:ascii="Times New Roman" w:hAnsi="Times New Roman" w:cs="Times New Roman"/>
          <w:sz w:val="30"/>
          <w:szCs w:val="30"/>
          <w:lang w:val="en-US" w:eastAsia="zh-CN"/>
        </w:rPr>
        <w:t>5）</w:t>
      </w:r>
      <w:r>
        <w:rPr>
          <w:rFonts w:hint="default" w:ascii="Times New Roman" w:hAnsi="Times New Roman" w:cs="Times New Roman"/>
          <w:sz w:val="30"/>
          <w:szCs w:val="30"/>
        </w:rPr>
        <w:t>阀门。腐蚀性流体根据流体的种类、浓度、温度和压力的不同分别选用哈氏合金或钢衬塑。</w:t>
      </w:r>
    </w:p>
    <w:p>
      <w:pPr>
        <w:ind w:firstLine="560" w:firstLineChars="200"/>
        <w:rPr>
          <w:rFonts w:hint="default" w:ascii="Times New Roman" w:hAnsi="Times New Roman" w:cs="Times New Roman"/>
        </w:rPr>
      </w:pPr>
      <w:r>
        <w:rPr>
          <w:rFonts w:hint="default" w:ascii="Times New Roman" w:hAnsi="Times New Roman" w:cs="Times New Roman"/>
        </w:rPr>
        <w:t>5、成分分析仪表</w:t>
      </w:r>
    </w:p>
    <w:p>
      <w:pPr>
        <w:ind w:firstLine="560" w:firstLineChars="200"/>
        <w:rPr>
          <w:rFonts w:hint="default" w:ascii="Times New Roman" w:hAnsi="Times New Roman" w:cs="Times New Roman"/>
        </w:rPr>
      </w:pPr>
      <w:r>
        <w:rPr>
          <w:rFonts w:hint="default" w:ascii="Times New Roman" w:hAnsi="Times New Roman" w:cs="Times New Roman"/>
        </w:rPr>
        <w:t>该企业涉及</w:t>
      </w:r>
      <w:r>
        <w:rPr>
          <w:rFonts w:hint="eastAsia" w:cs="Times New Roman"/>
          <w:lang w:val="en-US" w:eastAsia="zh-CN"/>
        </w:rPr>
        <w:t>的氢氟酸可能会产生</w:t>
      </w:r>
      <w:r>
        <w:rPr>
          <w:rFonts w:hint="default" w:ascii="Times New Roman" w:hAnsi="Times New Roman" w:cs="Times New Roman"/>
        </w:rPr>
        <w:t>有毒气体</w:t>
      </w:r>
      <w:r>
        <w:rPr>
          <w:rFonts w:hint="eastAsia" w:cs="Times New Roman"/>
          <w:lang w:val="en-US" w:eastAsia="zh-CN"/>
        </w:rPr>
        <w:t>氟化氢</w:t>
      </w:r>
      <w:r>
        <w:rPr>
          <w:rFonts w:hint="default" w:ascii="Times New Roman" w:hAnsi="Times New Roman" w:cs="Times New Roman"/>
        </w:rPr>
        <w:t>，在涉及</w:t>
      </w:r>
      <w:r>
        <w:rPr>
          <w:rFonts w:hint="eastAsia" w:cs="Times New Roman"/>
          <w:lang w:val="en-US" w:eastAsia="zh-CN"/>
        </w:rPr>
        <w:t>氟</w:t>
      </w:r>
      <w:r>
        <w:rPr>
          <w:rFonts w:hint="default" w:ascii="Times New Roman" w:hAnsi="Times New Roman" w:cs="Times New Roman"/>
        </w:rPr>
        <w:t>化氢的场所拟根据《石油化工可燃气体和有毒气体检测报警设计标准》GB/T50493-2019的要求设置有毒气体泄漏检测探头。有毒检测报警信号引至控制室，并配UPS电源。</w:t>
      </w:r>
    </w:p>
    <w:p>
      <w:pPr>
        <w:ind w:firstLine="560" w:firstLineChars="200"/>
        <w:rPr>
          <w:rFonts w:hint="default" w:ascii="Times New Roman" w:hAnsi="Times New Roman" w:cs="Times New Roman"/>
        </w:rPr>
      </w:pPr>
      <w:r>
        <w:rPr>
          <w:rFonts w:hint="default" w:ascii="Times New Roman" w:hAnsi="Times New Roman" w:cs="Times New Roman"/>
        </w:rPr>
        <w:t>6、仪表防护等级</w:t>
      </w:r>
    </w:p>
    <w:p>
      <w:pPr>
        <w:ind w:firstLine="560" w:firstLineChars="200"/>
        <w:rPr>
          <w:rFonts w:hint="default" w:ascii="Times New Roman" w:hAnsi="Times New Roman" w:cs="Times New Roman"/>
        </w:rPr>
      </w:pPr>
      <w:r>
        <w:rPr>
          <w:rFonts w:hint="default" w:ascii="Times New Roman" w:hAnsi="Times New Roman" w:cs="Times New Roman"/>
        </w:rPr>
        <w:t>该企业腐蚀性场所涉及到电气、仪表、照明设备均采用防水防尘防腐产品(防腐等级F2，防护等级IP65)。</w:t>
      </w:r>
    </w:p>
    <w:p>
      <w:pPr>
        <w:ind w:firstLine="560" w:firstLineChars="200"/>
        <w:rPr>
          <w:rFonts w:hint="default" w:ascii="Times New Roman" w:hAnsi="Times New Roman" w:cs="Times New Roman"/>
        </w:rPr>
      </w:pPr>
      <w:r>
        <w:rPr>
          <w:rFonts w:hint="default" w:ascii="Times New Roman" w:hAnsi="Times New Roman" w:cs="Times New Roman"/>
        </w:rPr>
        <w:t>该企业涉及的车间、仓库内设备防护等级不低于IP55。</w:t>
      </w:r>
    </w:p>
    <w:p>
      <w:pPr>
        <w:ind w:firstLine="560" w:firstLineChars="200"/>
        <w:rPr>
          <w:rFonts w:hint="default" w:ascii="Times New Roman" w:hAnsi="Times New Roman" w:cs="Times New Roman"/>
        </w:rPr>
      </w:pPr>
      <w:r>
        <w:rPr>
          <w:rFonts w:hint="default" w:ascii="Times New Roman" w:hAnsi="Times New Roman" w:cs="Times New Roman"/>
        </w:rPr>
        <w:t>车间、仓库等应急疏散照明、消防用电设备的配电电线和电缆出桥架后均采用钢管保护，并在保护管外表面涂刷防火涂料进行耐火保护。</w:t>
      </w:r>
    </w:p>
    <w:p>
      <w:pPr>
        <w:ind w:firstLine="560" w:firstLineChars="200"/>
        <w:rPr>
          <w:rFonts w:hint="default" w:ascii="Times New Roman" w:hAnsi="Times New Roman" w:cs="Times New Roman"/>
        </w:rPr>
      </w:pPr>
      <w:r>
        <w:rPr>
          <w:rFonts w:hint="default" w:ascii="Times New Roman" w:hAnsi="Times New Roman" w:cs="Times New Roman"/>
        </w:rPr>
        <w:t>在车间内动力、控制、仪表电缆沿防腐桥架敷设，然后穿管引下至用电设备。</w:t>
      </w:r>
    </w:p>
    <w:p>
      <w:pPr>
        <w:ind w:firstLine="560" w:firstLineChars="200"/>
        <w:rPr>
          <w:rFonts w:hint="default" w:ascii="Times New Roman" w:hAnsi="Times New Roman" w:cs="Times New Roman"/>
        </w:rPr>
      </w:pPr>
      <w:r>
        <w:rPr>
          <w:rFonts w:hint="default" w:ascii="Times New Roman" w:hAnsi="Times New Roman" w:cs="Times New Roman"/>
        </w:rPr>
        <w:t>6、动力供应</w:t>
      </w:r>
    </w:p>
    <w:p>
      <w:pPr>
        <w:ind w:firstLine="560" w:firstLineChars="200"/>
        <w:rPr>
          <w:rFonts w:hint="default" w:ascii="Times New Roman" w:hAnsi="Times New Roman" w:cs="Times New Roman"/>
        </w:rPr>
      </w:pPr>
      <w:r>
        <w:rPr>
          <w:rFonts w:hint="default" w:ascii="Times New Roman" w:hAnsi="Times New Roman" w:cs="Times New Roman"/>
        </w:rPr>
        <w:t>仪表及自动化装置的供电包括</w:t>
      </w:r>
      <w:r>
        <w:rPr>
          <w:rFonts w:hint="default" w:ascii="Times New Roman" w:hAnsi="Times New Roman" w:cs="Times New Roman"/>
          <w:lang w:val="en-US" w:eastAsia="zh-CN"/>
        </w:rPr>
        <w:t>PLC</w:t>
      </w:r>
      <w:r>
        <w:rPr>
          <w:rFonts w:hint="default" w:ascii="Times New Roman" w:hAnsi="Times New Roman" w:cs="Times New Roman"/>
        </w:rPr>
        <w:t>控制系统和监控计算机等系统。仪表用电负荷属于有特殊供电要求的负荷，工作电源采用不间断电源（UPS）。</w:t>
      </w:r>
    </w:p>
    <w:p>
      <w:pPr>
        <w:ind w:firstLine="560" w:firstLineChars="200"/>
        <w:rPr>
          <w:rFonts w:hint="default" w:ascii="Times New Roman" w:hAnsi="Times New Roman" w:cs="Times New Roman"/>
        </w:rPr>
      </w:pPr>
      <w:r>
        <w:rPr>
          <w:rFonts w:hint="default" w:ascii="Times New Roman" w:hAnsi="Times New Roman" w:cs="Times New Roman"/>
        </w:rPr>
        <w:t>根据工艺特征，该企业生产控制采取就地与集中相结合的控制方式，对重要的参数如温度、压力、液位等引至操作室集中显示、记录、调节、报警。</w:t>
      </w:r>
    </w:p>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4</w:t>
      </w:r>
      <w:r>
        <w:rPr>
          <w:rFonts w:hint="default" w:ascii="Times New Roman" w:hAnsi="Times New Roman" w:cs="Times New Roman"/>
        </w:rPr>
        <w:t>.5三废处理</w:t>
      </w:r>
    </w:p>
    <w:p>
      <w:pPr>
        <w:pStyle w:val="12"/>
        <w:ind w:firstLine="560" w:firstLineChars="200"/>
        <w:rPr>
          <w:rFonts w:hint="default" w:ascii="Times New Roman" w:hAnsi="Times New Roman" w:cs="Times New Roman"/>
          <w:color w:val="000000"/>
        </w:rPr>
      </w:pPr>
      <w:r>
        <w:rPr>
          <w:rFonts w:hint="default" w:ascii="Times New Roman" w:hAnsi="Times New Roman" w:cs="Times New Roman"/>
          <w:color w:val="000000"/>
        </w:rPr>
        <w:t>一、废气</w:t>
      </w:r>
    </w:p>
    <w:p>
      <w:pPr>
        <w:pStyle w:val="12"/>
        <w:ind w:firstLine="560" w:firstLineChars="200"/>
        <w:rPr>
          <w:rFonts w:hint="default" w:ascii="Times New Roman" w:hAnsi="Times New Roman" w:eastAsia="宋体" w:cs="Times New Roman"/>
          <w:color w:val="000000"/>
          <w:lang w:val="en-US" w:eastAsia="zh-CN"/>
        </w:rPr>
      </w:pPr>
      <w:r>
        <w:rPr>
          <w:rFonts w:hint="default" w:ascii="Times New Roman" w:hAnsi="Times New Roman" w:cs="Times New Roman"/>
          <w:color w:val="000000"/>
        </w:rPr>
        <w:t>①</w:t>
      </w:r>
      <w:r>
        <w:rPr>
          <w:rFonts w:hint="default" w:ascii="Times New Roman" w:hAnsi="Times New Roman" w:cs="Times New Roman"/>
          <w:color w:val="000000"/>
          <w:lang w:val="en-US" w:eastAsia="zh-CN"/>
        </w:rPr>
        <w:t>烘干废气</w:t>
      </w:r>
    </w:p>
    <w:p>
      <w:pPr>
        <w:pStyle w:val="12"/>
        <w:ind w:firstLine="560" w:firstLineChars="200"/>
        <w:rPr>
          <w:rFonts w:hint="default" w:ascii="Times New Roman" w:hAnsi="Times New Roman" w:cs="Times New Roman"/>
          <w:color w:val="000000"/>
        </w:rPr>
      </w:pPr>
      <w:r>
        <w:rPr>
          <w:rFonts w:hint="default" w:ascii="Times New Roman" w:hAnsi="Times New Roman" w:cs="Times New Roman"/>
          <w:color w:val="000000"/>
          <w:lang w:val="en-US" w:eastAsia="zh-CN"/>
        </w:rPr>
        <w:t>该企业</w:t>
      </w:r>
      <w:r>
        <w:rPr>
          <w:rFonts w:hint="default" w:ascii="Times New Roman" w:hAnsi="Times New Roman" w:cs="Times New Roman"/>
          <w:color w:val="000000"/>
        </w:rPr>
        <w:t>中多个产品需经脱水干燥后包装出售，其中大部分产品采用回转式真空干燥机，干燥中产生的水蒸汽通过真空泵经水封装置由碱液吸收。</w:t>
      </w:r>
    </w:p>
    <w:p>
      <w:pPr>
        <w:pStyle w:val="12"/>
        <w:ind w:firstLine="560" w:firstLineChars="200"/>
        <w:rPr>
          <w:rFonts w:hint="default" w:ascii="Times New Roman" w:hAnsi="Times New Roman" w:cs="Times New Roman"/>
          <w:color w:val="000000"/>
        </w:rPr>
      </w:pPr>
      <w:r>
        <w:rPr>
          <w:rFonts w:hint="default" w:ascii="Times New Roman" w:hAnsi="Times New Roman" w:cs="Times New Roman"/>
          <w:color w:val="000000"/>
        </w:rPr>
        <w:t>②</w:t>
      </w:r>
      <w:r>
        <w:rPr>
          <w:rFonts w:hint="default" w:ascii="Times New Roman" w:hAnsi="Times New Roman" w:cs="Times New Roman"/>
          <w:color w:val="000000"/>
          <w:lang w:val="en-US" w:eastAsia="zh-CN"/>
        </w:rPr>
        <w:t>工艺</w:t>
      </w:r>
      <w:r>
        <w:rPr>
          <w:rFonts w:hint="default" w:ascii="Times New Roman" w:hAnsi="Times New Roman" w:cs="Times New Roman"/>
          <w:color w:val="000000"/>
        </w:rPr>
        <w:t>废气</w:t>
      </w:r>
    </w:p>
    <w:p>
      <w:pPr>
        <w:pStyle w:val="12"/>
        <w:ind w:firstLine="560" w:firstLineChars="200"/>
        <w:rPr>
          <w:rFonts w:hint="default" w:ascii="Times New Roman" w:hAnsi="Times New Roman" w:eastAsia="宋体" w:cs="Times New Roman"/>
          <w:color w:val="000000"/>
          <w:lang w:val="en-US" w:eastAsia="zh-CN"/>
        </w:rPr>
      </w:pPr>
      <w:r>
        <w:rPr>
          <w:rFonts w:hint="default" w:ascii="Times New Roman" w:hAnsi="Times New Roman" w:cs="Times New Roman"/>
          <w:color w:val="000000"/>
        </w:rPr>
        <w:t>该企业根据不同的产品系列设置排气筒，相同系列、相同污染物设置一个排气筒，含氟尾气用碱液吸收后</w:t>
      </w:r>
      <w:r>
        <w:rPr>
          <w:rFonts w:hint="default" w:ascii="Times New Roman" w:hAnsi="Times New Roman" w:cs="Times New Roman"/>
          <w:color w:val="000000"/>
          <w:lang w:val="en-US" w:eastAsia="zh-CN"/>
        </w:rPr>
        <w:t>排放。</w:t>
      </w:r>
    </w:p>
    <w:p>
      <w:pPr>
        <w:pStyle w:val="12"/>
        <w:ind w:firstLine="560" w:firstLineChars="200"/>
        <w:rPr>
          <w:rFonts w:hint="default" w:ascii="Times New Roman" w:hAnsi="Times New Roman" w:cs="Times New Roman"/>
          <w:color w:val="000000"/>
        </w:rPr>
      </w:pPr>
      <w:r>
        <w:rPr>
          <w:rFonts w:hint="default" w:ascii="Times New Roman" w:hAnsi="Times New Roman" w:cs="Times New Roman"/>
          <w:color w:val="000000"/>
        </w:rPr>
        <w:t>废气排污染物排放总量为：F- =0.1459 t/a；能够满足《大气污染物综合排放标准》（GB16297-1996）表2中的二级标准要求。</w:t>
      </w:r>
    </w:p>
    <w:p>
      <w:pPr>
        <w:pStyle w:val="12"/>
        <w:ind w:firstLine="560" w:firstLineChars="200"/>
        <w:rPr>
          <w:rFonts w:hint="default" w:ascii="Times New Roman" w:hAnsi="Times New Roman" w:cs="Times New Roman"/>
          <w:color w:val="000000"/>
        </w:rPr>
      </w:pPr>
      <w:r>
        <w:rPr>
          <w:rFonts w:hint="default" w:ascii="Times New Roman" w:hAnsi="Times New Roman" w:cs="Times New Roman"/>
          <w:color w:val="000000"/>
        </w:rPr>
        <w:t>二、废水</w:t>
      </w:r>
    </w:p>
    <w:p>
      <w:pPr>
        <w:pStyle w:val="12"/>
        <w:ind w:firstLine="560" w:firstLineChars="200"/>
        <w:rPr>
          <w:rFonts w:hint="default" w:ascii="Times New Roman" w:hAnsi="Times New Roman" w:cs="Times New Roman"/>
          <w:color w:val="000000"/>
        </w:rPr>
      </w:pPr>
      <w:r>
        <w:rPr>
          <w:rFonts w:hint="default" w:ascii="Times New Roman" w:hAnsi="Times New Roman" w:cs="Times New Roman"/>
          <w:color w:val="000000"/>
          <w:lang w:val="en-US" w:eastAsia="zh-CN"/>
        </w:rPr>
        <w:t>该企业的产品</w:t>
      </w:r>
      <w:r>
        <w:rPr>
          <w:rFonts w:hint="default" w:ascii="Times New Roman" w:hAnsi="Times New Roman" w:cs="Times New Roman"/>
          <w:color w:val="000000"/>
        </w:rPr>
        <w:t>由于溶解度大，反应母液均通过浓缩结晶等手段生成产品，不产生废水。</w:t>
      </w:r>
    </w:p>
    <w:p>
      <w:pPr>
        <w:pStyle w:val="12"/>
        <w:ind w:firstLine="560" w:firstLineChars="200"/>
        <w:rPr>
          <w:rFonts w:hint="default" w:ascii="Times New Roman" w:hAnsi="Times New Roman" w:cs="Times New Roman"/>
          <w:color w:val="000000"/>
        </w:rPr>
      </w:pPr>
      <w:r>
        <w:rPr>
          <w:rFonts w:hint="default" w:ascii="Times New Roman" w:hAnsi="Times New Roman" w:cs="Times New Roman"/>
          <w:color w:val="000000"/>
        </w:rPr>
        <w:t>该企业生产过程不产生工艺废水，废水主要包括清洗废水和生活污水。</w:t>
      </w:r>
    </w:p>
    <w:p>
      <w:pPr>
        <w:pStyle w:val="12"/>
        <w:ind w:firstLine="560" w:firstLineChars="200"/>
        <w:rPr>
          <w:rFonts w:hint="default" w:ascii="Times New Roman" w:hAnsi="Times New Roman" w:cs="Times New Roman"/>
          <w:color w:val="000000"/>
        </w:rPr>
      </w:pPr>
      <w:r>
        <w:rPr>
          <w:rFonts w:hint="default" w:ascii="Times New Roman" w:hAnsi="Times New Roman" w:cs="Times New Roman"/>
          <w:color w:val="000000"/>
        </w:rPr>
        <w:t>①清洗废水</w:t>
      </w:r>
    </w:p>
    <w:p>
      <w:pPr>
        <w:pStyle w:val="12"/>
        <w:ind w:firstLine="560" w:firstLineChars="200"/>
        <w:rPr>
          <w:rFonts w:hint="default" w:ascii="Times New Roman" w:hAnsi="Times New Roman" w:cs="Times New Roman"/>
          <w:color w:val="000000"/>
        </w:rPr>
      </w:pPr>
      <w:r>
        <w:rPr>
          <w:rFonts w:hint="default" w:ascii="Times New Roman" w:hAnsi="Times New Roman" w:cs="Times New Roman"/>
          <w:color w:val="000000"/>
        </w:rPr>
        <w:t>清洗废水产生后在车间设置收集池（经收集池沉淀后），通过泵转入污水处理站，经水解酸化+接触氧化+反应+絮凝沉淀处理达标后排入园区污水处理厂。</w:t>
      </w:r>
    </w:p>
    <w:p>
      <w:pPr>
        <w:pStyle w:val="12"/>
        <w:ind w:firstLine="560" w:firstLineChars="200"/>
        <w:rPr>
          <w:rFonts w:hint="default" w:ascii="Times New Roman" w:hAnsi="Times New Roman" w:cs="Times New Roman"/>
          <w:color w:val="000000"/>
        </w:rPr>
      </w:pPr>
      <w:r>
        <w:rPr>
          <w:rFonts w:hint="default" w:ascii="Times New Roman" w:hAnsi="Times New Roman" w:cs="Times New Roman"/>
          <w:color w:val="000000"/>
        </w:rPr>
        <w:t>②生活污水</w:t>
      </w:r>
    </w:p>
    <w:p>
      <w:pPr>
        <w:pStyle w:val="12"/>
        <w:ind w:firstLine="560" w:firstLineChars="200"/>
        <w:rPr>
          <w:rFonts w:hint="default" w:ascii="Times New Roman" w:hAnsi="Times New Roman" w:cs="Times New Roman"/>
          <w:color w:val="000000"/>
        </w:rPr>
      </w:pPr>
      <w:r>
        <w:rPr>
          <w:rFonts w:hint="default" w:ascii="Times New Roman" w:hAnsi="Times New Roman" w:cs="Times New Roman"/>
          <w:color w:val="000000"/>
        </w:rPr>
        <w:t>生活污水排入厂区污水处理站，经水解酸化+接触氧化+反应+絮凝沉淀处理达标后排入园区污水处理厂。</w:t>
      </w:r>
    </w:p>
    <w:p>
      <w:pPr>
        <w:pStyle w:val="12"/>
        <w:ind w:firstLine="560" w:firstLineChars="200"/>
        <w:rPr>
          <w:rFonts w:hint="default" w:ascii="Times New Roman" w:hAnsi="Times New Roman" w:eastAsia="宋体" w:cs="Times New Roman"/>
          <w:color w:val="000000"/>
          <w:lang w:val="en-US" w:eastAsia="zh-CN"/>
        </w:rPr>
      </w:pPr>
      <w:r>
        <w:rPr>
          <w:rFonts w:hint="default" w:ascii="Times New Roman" w:hAnsi="Times New Roman" w:cs="Times New Roman"/>
          <w:color w:val="000000"/>
        </w:rPr>
        <w:t>三、固废</w:t>
      </w:r>
    </w:p>
    <w:p>
      <w:pPr>
        <w:pStyle w:val="12"/>
        <w:ind w:firstLine="560" w:firstLineChars="200"/>
        <w:rPr>
          <w:rFonts w:hint="default" w:ascii="Times New Roman" w:hAnsi="Times New Roman" w:cs="Times New Roman"/>
          <w:color w:val="000000"/>
          <w:lang w:val="eu-ES"/>
        </w:rPr>
      </w:pPr>
      <w:r>
        <w:rPr>
          <w:rFonts w:hint="default" w:ascii="Times New Roman" w:hAnsi="Times New Roman" w:cs="Times New Roman"/>
          <w:color w:val="000000"/>
        </w:rPr>
        <w:t>该企业产生的生活垃圾由环卫部门统一清运。</w:t>
      </w:r>
    </w:p>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4</w:t>
      </w:r>
      <w:r>
        <w:rPr>
          <w:rFonts w:hint="default" w:ascii="Times New Roman" w:hAnsi="Times New Roman" w:cs="Times New Roman"/>
        </w:rPr>
        <w:t>.6化验、检修</w:t>
      </w:r>
    </w:p>
    <w:p>
      <w:pPr>
        <w:ind w:firstLine="560" w:firstLineChars="200"/>
        <w:rPr>
          <w:rFonts w:hint="default" w:ascii="Times New Roman" w:hAnsi="Times New Roman" w:cs="Times New Roman"/>
        </w:rPr>
      </w:pPr>
      <w:r>
        <w:rPr>
          <w:rFonts w:hint="default" w:ascii="Times New Roman" w:hAnsi="Times New Roman" w:cs="Times New Roman"/>
        </w:rPr>
        <w:t>1、维修</w:t>
      </w:r>
    </w:p>
    <w:p>
      <w:pPr>
        <w:ind w:firstLine="560" w:firstLineChars="200"/>
        <w:rPr>
          <w:rFonts w:hint="default" w:ascii="Times New Roman" w:hAnsi="Times New Roman" w:cs="Times New Roman"/>
        </w:rPr>
      </w:pPr>
      <w:r>
        <w:rPr>
          <w:rFonts w:hint="default" w:ascii="Times New Roman" w:hAnsi="Times New Roman" w:cs="Times New Roman"/>
        </w:rPr>
        <w:t>1）机修</w:t>
      </w:r>
    </w:p>
    <w:p>
      <w:pPr>
        <w:ind w:firstLine="560" w:firstLineChars="200"/>
        <w:rPr>
          <w:rFonts w:hint="default" w:ascii="Times New Roman" w:hAnsi="Times New Roman" w:cs="Times New Roman"/>
        </w:rPr>
      </w:pPr>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rPr>
        <w:t>所用设备均为国产化设备，有一定数量的静设备和动设备。为保证正常生产及做好设备的维修、保全工作，该公司设置了具有专业能力的维修人员，本公司无法检修时，外委具有相应资格的单位承修。</w:t>
      </w:r>
    </w:p>
    <w:p>
      <w:pPr>
        <w:ind w:firstLine="560" w:firstLineChars="200"/>
        <w:rPr>
          <w:rFonts w:hint="default" w:ascii="Times New Roman" w:hAnsi="Times New Roman" w:cs="Times New Roman"/>
        </w:rPr>
      </w:pPr>
      <w:r>
        <w:rPr>
          <w:rFonts w:hint="default" w:ascii="Times New Roman" w:hAnsi="Times New Roman" w:cs="Times New Roman"/>
        </w:rPr>
        <w:t>2）仪修</w:t>
      </w:r>
    </w:p>
    <w:p>
      <w:pPr>
        <w:ind w:firstLine="560" w:firstLineChars="200"/>
        <w:rPr>
          <w:rFonts w:hint="default" w:ascii="Times New Roman" w:hAnsi="Times New Roman" w:cs="Times New Roman"/>
        </w:rPr>
      </w:pPr>
      <w:r>
        <w:rPr>
          <w:rFonts w:hint="default" w:ascii="Times New Roman" w:hAnsi="Times New Roman" w:cs="Times New Roman"/>
        </w:rPr>
        <w:t>仪表修理负责装置自动化仪表及其它仪表的维修、检验和调校，以保证仪表稳定、准确、可靠地运行，保证在线仪表的完好无损，不断提高过程仪表的完好率、开表率。公司配置有检修工、电工、仪表工对设备进行维护、保养。</w:t>
      </w:r>
    </w:p>
    <w:p>
      <w:pPr>
        <w:ind w:firstLine="560" w:firstLineChars="200"/>
        <w:rPr>
          <w:rFonts w:hint="default" w:ascii="Times New Roman" w:hAnsi="Times New Roman" w:cs="Times New Roman"/>
        </w:rPr>
      </w:pPr>
      <w:r>
        <w:rPr>
          <w:rFonts w:hint="default" w:ascii="Times New Roman" w:hAnsi="Times New Roman" w:cs="Times New Roman"/>
        </w:rPr>
        <w:t>3）电修</w:t>
      </w:r>
    </w:p>
    <w:p>
      <w:pPr>
        <w:ind w:firstLine="560" w:firstLineChars="200"/>
        <w:rPr>
          <w:rFonts w:hint="default" w:ascii="Times New Roman" w:hAnsi="Times New Roman" w:cs="Times New Roman"/>
        </w:rPr>
      </w:pPr>
      <w:r>
        <w:rPr>
          <w:rFonts w:hint="default" w:ascii="Times New Roman" w:hAnsi="Times New Roman" w:cs="Times New Roman"/>
        </w:rPr>
        <w:t>电修是为电焊设备及电气设备的检修服务的，电修内容包括对电气设备上某些主要部件加以修理、更新、调整并清除已经发现而且能就地处理的缺陷，公司</w:t>
      </w:r>
      <w:r>
        <w:rPr>
          <w:rFonts w:hint="default" w:ascii="Times New Roman" w:hAnsi="Times New Roman" w:cs="Times New Roman"/>
          <w:lang w:val="en-US" w:eastAsia="zh-CN"/>
        </w:rPr>
        <w:t>涉及电气设备的检维修委托有资质的公司进行</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rPr>
        <w:t>2、分析化验</w:t>
      </w:r>
    </w:p>
    <w:p>
      <w:pPr>
        <w:ind w:firstLine="560" w:firstLineChars="200"/>
        <w:rPr>
          <w:rFonts w:hint="default" w:ascii="Times New Roman" w:hAnsi="Times New Roman" w:cs="Times New Roman"/>
        </w:rPr>
      </w:pPr>
      <w:r>
        <w:rPr>
          <w:rFonts w:hint="default" w:ascii="Times New Roman" w:hAnsi="Times New Roman" w:cs="Times New Roman"/>
        </w:rPr>
        <w:t>为了保证产品质量，管理上要求建立完整的与质量检验相适应的质量检测设施，负责全厂的原辅材料、包装材料、成品的质量管理与检验工作。该</w:t>
      </w:r>
      <w:r>
        <w:rPr>
          <w:rFonts w:hint="eastAsia" w:cs="Times New Roman"/>
          <w:lang w:val="en-US" w:eastAsia="zh-CN"/>
        </w:rPr>
        <w:t>企业</w:t>
      </w:r>
      <w:r>
        <w:rPr>
          <w:rFonts w:hint="default" w:ascii="Times New Roman" w:hAnsi="Times New Roman" w:cs="Times New Roman"/>
        </w:rPr>
        <w:t>在40</w:t>
      </w:r>
      <w:r>
        <w:rPr>
          <w:rFonts w:hint="default" w:ascii="Times New Roman" w:hAnsi="Times New Roman" w:cs="Times New Roman"/>
          <w:lang w:val="en-US" w:eastAsia="zh-CN"/>
        </w:rPr>
        <w:t>5分析室</w:t>
      </w:r>
      <w:r>
        <w:rPr>
          <w:rFonts w:hint="default" w:ascii="Times New Roman" w:hAnsi="Times New Roman" w:cs="Times New Roman"/>
        </w:rPr>
        <w:t>设置有分析化验室。</w:t>
      </w:r>
    </w:p>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eastAsia="zh-CN"/>
        </w:rPr>
        <w:t>7</w:t>
      </w:r>
      <w:r>
        <w:rPr>
          <w:rFonts w:hint="default" w:ascii="Times New Roman" w:hAnsi="Times New Roman" w:cs="Times New Roman"/>
        </w:rPr>
        <w:t>电讯</w:t>
      </w:r>
    </w:p>
    <w:p>
      <w:pPr>
        <w:ind w:firstLine="560" w:firstLineChars="200"/>
        <w:rPr>
          <w:rFonts w:hint="default" w:ascii="Times New Roman" w:hAnsi="Times New Roman" w:cs="Times New Roman"/>
        </w:rPr>
      </w:pPr>
      <w:r>
        <w:rPr>
          <w:rFonts w:hint="default" w:ascii="Times New Roman" w:hAnsi="Times New Roman" w:cs="Times New Roman"/>
        </w:rPr>
        <w:t>1、通讯</w:t>
      </w:r>
    </w:p>
    <w:p>
      <w:pPr>
        <w:ind w:firstLine="560" w:firstLineChars="200"/>
        <w:rPr>
          <w:rFonts w:hint="default" w:ascii="Times New Roman" w:hAnsi="Times New Roman" w:cs="Times New Roman"/>
        </w:rPr>
      </w:pPr>
      <w:r>
        <w:rPr>
          <w:rFonts w:hint="default" w:ascii="Times New Roman" w:hAnsi="Times New Roman" w:cs="Times New Roman"/>
        </w:rPr>
        <w:t>企业</w:t>
      </w:r>
      <w:bookmarkStart w:id="33" w:name="_Toc10115"/>
      <w:r>
        <w:rPr>
          <w:rFonts w:hint="default" w:ascii="Times New Roman" w:hAnsi="Times New Roman" w:cs="Times New Roman"/>
        </w:rPr>
        <w:t>所在园区已设</w:t>
      </w:r>
      <w:bookmarkEnd w:id="33"/>
      <w:r>
        <w:rPr>
          <w:rFonts w:hint="default" w:ascii="Times New Roman" w:hAnsi="Times New Roman" w:cs="Times New Roman"/>
        </w:rPr>
        <w:t>有网络通讯、程控电话、有线电视系统，移动通讯信号覆盖厂区。根据生产需要，操作人员配备调度电话，在综合办公大楼设置了办公电话。</w:t>
      </w:r>
    </w:p>
    <w:p>
      <w:pPr>
        <w:ind w:firstLine="560" w:firstLineChars="200"/>
        <w:rPr>
          <w:rFonts w:hint="default" w:ascii="Times New Roman" w:hAnsi="Times New Roman" w:cs="Times New Roman"/>
        </w:rPr>
      </w:pPr>
      <w:r>
        <w:rPr>
          <w:rFonts w:hint="default" w:ascii="Times New Roman" w:hAnsi="Times New Roman" w:cs="Times New Roman"/>
        </w:rPr>
        <w:t>网络系统：从当地电信部门引来多模光纤，作为厂区LAN网上Internet网专线。</w:t>
      </w:r>
    </w:p>
    <w:p>
      <w:pPr>
        <w:ind w:firstLine="560" w:firstLineChars="200"/>
        <w:rPr>
          <w:rFonts w:hint="default" w:ascii="Times New Roman" w:hAnsi="Times New Roman" w:cs="Times New Roman"/>
          <w:color w:val="000000" w:themeColor="text1"/>
        </w:rPr>
      </w:pPr>
      <w:r>
        <w:rPr>
          <w:rFonts w:hint="default" w:ascii="Times New Roman" w:hAnsi="Times New Roman" w:cs="Times New Roman"/>
        </w:rPr>
        <w:t>2、</w:t>
      </w:r>
      <w:r>
        <w:rPr>
          <w:rFonts w:hint="default" w:ascii="Times New Roman" w:hAnsi="Times New Roman" w:cs="Times New Roman"/>
          <w:color w:val="000000" w:themeColor="text1"/>
        </w:rPr>
        <w:t>可燃气体检测系统</w:t>
      </w:r>
    </w:p>
    <w:p>
      <w:pPr>
        <w:ind w:firstLine="56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为了确保人身安全，在容易泄漏和容易积聚</w:t>
      </w:r>
      <w:r>
        <w:rPr>
          <w:rFonts w:hint="default" w:ascii="Times New Roman" w:hAnsi="Times New Roman" w:cs="Times New Roman"/>
          <w:color w:val="000000" w:themeColor="text1"/>
          <w:lang w:val="en-US" w:eastAsia="zh-CN"/>
        </w:rPr>
        <w:t>有毒</w:t>
      </w:r>
      <w:r>
        <w:rPr>
          <w:rFonts w:hint="default" w:ascii="Times New Roman" w:hAnsi="Times New Roman" w:cs="Times New Roman"/>
          <w:color w:val="000000" w:themeColor="text1"/>
        </w:rPr>
        <w:t>气体的场所按《石油化工可燃气体和有毒气体检测报警设计标准》GB/T50493-2019的要求设置了</w:t>
      </w:r>
      <w:r>
        <w:rPr>
          <w:rFonts w:hint="default" w:ascii="Times New Roman" w:hAnsi="Times New Roman" w:cs="Times New Roman"/>
          <w:color w:val="000000" w:themeColor="text1"/>
          <w:lang w:val="en-US" w:eastAsia="zh-CN"/>
        </w:rPr>
        <w:t>有毒</w:t>
      </w:r>
      <w:r>
        <w:rPr>
          <w:rFonts w:hint="default" w:ascii="Times New Roman" w:hAnsi="Times New Roman" w:cs="Times New Roman"/>
          <w:color w:val="000000" w:themeColor="text1"/>
        </w:rPr>
        <w:t>气体探测器，有毒气体探测器信号通过分线接入气体报警控制器，气体报警控制器设置在</w:t>
      </w:r>
      <w:r>
        <w:rPr>
          <w:rFonts w:hint="default" w:ascii="Times New Roman" w:hAnsi="Times New Roman" w:cs="Times New Roman"/>
          <w:color w:val="000000" w:themeColor="text1"/>
          <w:lang w:val="en-US" w:eastAsia="zh-CN"/>
        </w:rPr>
        <w:t>309半成品仓库二的控制室</w:t>
      </w:r>
      <w:r>
        <w:rPr>
          <w:rFonts w:hint="default" w:ascii="Times New Roman" w:hAnsi="Times New Roman" w:cs="Times New Roman"/>
          <w:color w:val="000000" w:themeColor="text1"/>
        </w:rPr>
        <w:t>内</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lang w:val="en-US" w:eastAsia="zh-CN"/>
        </w:rPr>
        <w:t>并配有2个便携式气体探头（新配置的，在免检期内）</w:t>
      </w:r>
      <w:r>
        <w:rPr>
          <w:rFonts w:hint="default" w:ascii="Times New Roman" w:hAnsi="Times New Roman" w:cs="Times New Roman"/>
          <w:color w:val="000000" w:themeColor="text1"/>
        </w:rPr>
        <w:t>，</w:t>
      </w:r>
      <w:r>
        <w:rPr>
          <w:rFonts w:hint="default" w:ascii="Times New Roman" w:hAnsi="Times New Roman" w:cs="Times New Roman"/>
          <w:color w:val="000000" w:themeColor="text1"/>
          <w:lang w:val="en-US" w:eastAsia="zh-CN"/>
        </w:rPr>
        <w:t>固定式气体探头的检测报告</w:t>
      </w:r>
      <w:r>
        <w:rPr>
          <w:rFonts w:hint="default" w:ascii="Times New Roman" w:hAnsi="Times New Roman" w:cs="Times New Roman"/>
          <w:color w:val="000000" w:themeColor="text1"/>
        </w:rPr>
        <w:t>详见附件。</w:t>
      </w:r>
    </w:p>
    <w:p>
      <w:pPr>
        <w:jc w:val="center"/>
        <w:rPr>
          <w:rFonts w:hint="default" w:ascii="Times New Roman" w:hAnsi="Times New Roman" w:cs="Times New Roman"/>
          <w:color w:val="000000" w:themeColor="text1"/>
        </w:rPr>
      </w:pPr>
      <w:r>
        <w:rPr>
          <w:rFonts w:hint="default" w:ascii="Times New Roman" w:hAnsi="Times New Roman" w:cs="Times New Roman"/>
          <w:color w:val="000000" w:themeColor="text1"/>
        </w:rPr>
        <w:t>表2.5.8-1 气体探头设置情况一览表</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2355"/>
        <w:gridCol w:w="693"/>
        <w:gridCol w:w="2773"/>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69"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安装场所</w:t>
            </w:r>
          </w:p>
        </w:tc>
        <w:tc>
          <w:tcPr>
            <w:tcW w:w="126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有毒气体探测器</w:t>
            </w:r>
          </w:p>
        </w:tc>
        <w:tc>
          <w:tcPr>
            <w:tcW w:w="37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数量</w:t>
            </w:r>
          </w:p>
        </w:tc>
        <w:tc>
          <w:tcPr>
            <w:tcW w:w="149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涉及的危险化学品</w:t>
            </w:r>
          </w:p>
        </w:tc>
        <w:tc>
          <w:tcPr>
            <w:tcW w:w="895"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69"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201原料罐区</w:t>
            </w:r>
          </w:p>
        </w:tc>
        <w:tc>
          <w:tcPr>
            <w:tcW w:w="126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DR-700-HF</w:t>
            </w:r>
          </w:p>
        </w:tc>
        <w:tc>
          <w:tcPr>
            <w:tcW w:w="37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493"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有水氢氟酸（40%）</w:t>
            </w:r>
          </w:p>
        </w:tc>
        <w:tc>
          <w:tcPr>
            <w:tcW w:w="895" w:type="pct"/>
            <w:noWrap w:val="0"/>
            <w:vAlign w:val="center"/>
          </w:tcPr>
          <w:p>
            <w:pPr>
              <w:spacing w:line="240" w:lineRule="auto"/>
              <w:jc w:val="center"/>
              <w:rPr>
                <w:rFonts w:hint="default" w:ascii="Times New Roman" w:hAnsi="Times New Roman" w:cs="Times New Roman"/>
                <w:sz w:val="21"/>
                <w:szCs w:val="21"/>
              </w:rPr>
            </w:pPr>
          </w:p>
        </w:tc>
      </w:tr>
    </w:tbl>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cs="Times New Roman"/>
          <w:color w:val="000000" w:themeColor="text1"/>
          <w:highlight w:val="yellow"/>
        </w:rPr>
      </w:pPr>
      <w:r>
        <w:rPr>
          <w:rFonts w:hint="default" w:ascii="Times New Roman" w:hAnsi="Times New Roman" w:cs="Times New Roman"/>
          <w:color w:val="000000" w:themeColor="text1"/>
        </w:rPr>
        <w:t>4、视频监控系统</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cs="Times New Roman"/>
          <w:color w:val="000000" w:themeColor="text1"/>
          <w:highlight w:val="yellow"/>
        </w:rPr>
      </w:pPr>
      <w:r>
        <w:rPr>
          <w:rFonts w:hint="default" w:ascii="Times New Roman" w:hAnsi="Times New Roman" w:cs="Times New Roman"/>
          <w:color w:val="000000" w:themeColor="text1"/>
        </w:rPr>
        <w:t>厂区视频监控系统设置在</w:t>
      </w:r>
      <w:r>
        <w:rPr>
          <w:rFonts w:hint="default" w:ascii="Times New Roman" w:hAnsi="Times New Roman" w:cs="Times New Roman"/>
          <w:color w:val="000000" w:themeColor="text1"/>
          <w:lang w:val="en-US" w:eastAsia="zh-CN"/>
        </w:rPr>
        <w:t>404门卫</w:t>
      </w:r>
      <w:r>
        <w:rPr>
          <w:rFonts w:hint="default" w:ascii="Times New Roman" w:hAnsi="Times New Roman" w:cs="Times New Roman"/>
          <w:color w:val="000000" w:themeColor="text1"/>
        </w:rPr>
        <w:t>内，视频监控系统共包括监控点位</w:t>
      </w:r>
      <w:r>
        <w:rPr>
          <w:rFonts w:hint="default" w:ascii="Times New Roman" w:hAnsi="Times New Roman" w:cs="Times New Roman"/>
          <w:color w:val="000000" w:themeColor="text1"/>
          <w:lang w:val="en-US" w:eastAsia="zh-CN"/>
        </w:rPr>
        <w:t>13</w:t>
      </w:r>
      <w:r>
        <w:rPr>
          <w:rFonts w:hint="default" w:ascii="Times New Roman" w:hAnsi="Times New Roman" w:cs="Times New Roman"/>
          <w:color w:val="000000" w:themeColor="text1"/>
        </w:rPr>
        <w:t>个，监控范围包括了全厂区周界、厂区内所有道路、生产车间各楼层、仓库、储罐区、公用系统工程区域、办公楼、食堂等场所。</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视频监控一览表如下：</w:t>
      </w:r>
    </w:p>
    <w:tbl>
      <w:tblPr>
        <w:tblStyle w:val="25"/>
        <w:tblW w:w="9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740"/>
        <w:gridCol w:w="4241"/>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序号</w:t>
            </w:r>
          </w:p>
        </w:tc>
        <w:tc>
          <w:tcPr>
            <w:tcW w:w="1740" w:type="dxa"/>
          </w:tcPr>
          <w:p>
            <w:pPr>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设备名称</w:t>
            </w:r>
          </w:p>
        </w:tc>
        <w:tc>
          <w:tcPr>
            <w:tcW w:w="4241" w:type="dxa"/>
          </w:tcPr>
          <w:p>
            <w:pPr>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安装地点</w:t>
            </w:r>
          </w:p>
        </w:tc>
        <w:tc>
          <w:tcPr>
            <w:tcW w:w="2666" w:type="dxa"/>
          </w:tcPr>
          <w:p>
            <w:pPr>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安装数量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w:t>
            </w:r>
          </w:p>
        </w:tc>
        <w:tc>
          <w:tcPr>
            <w:tcW w:w="1740" w:type="dxa"/>
          </w:tcPr>
          <w:p>
            <w:pPr>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海康威视摄相头</w:t>
            </w:r>
          </w:p>
        </w:tc>
        <w:tc>
          <w:tcPr>
            <w:tcW w:w="4241" w:type="dxa"/>
            <w:vAlign w:val="center"/>
          </w:tcPr>
          <w:p>
            <w:pPr>
              <w:spacing w:line="24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105烘干车间和103生产车间三、104生产车间四、101生产车间一、102生产车间二</w:t>
            </w:r>
          </w:p>
        </w:tc>
        <w:tc>
          <w:tcPr>
            <w:tcW w:w="2666" w:type="dxa"/>
            <w:vAlign w:val="center"/>
          </w:tcPr>
          <w:p>
            <w:pPr>
              <w:spacing w:line="240" w:lineRule="auto"/>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w:t>
            </w:r>
          </w:p>
        </w:tc>
        <w:tc>
          <w:tcPr>
            <w:tcW w:w="1740" w:type="dxa"/>
          </w:tcPr>
          <w:p>
            <w:pPr>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海康威视摄相头</w:t>
            </w:r>
          </w:p>
        </w:tc>
        <w:tc>
          <w:tcPr>
            <w:tcW w:w="4241" w:type="dxa"/>
            <w:vAlign w:val="center"/>
          </w:tcPr>
          <w:p>
            <w:pPr>
              <w:spacing w:line="24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cs="Times New Roman"/>
                <w:color w:val="000000" w:themeColor="text1"/>
                <w:sz w:val="21"/>
                <w:szCs w:val="21"/>
                <w:lang w:val="en-US" w:eastAsia="zh-CN"/>
              </w:rPr>
              <w:t>201原料罐区、202成品罐区</w:t>
            </w:r>
          </w:p>
        </w:tc>
        <w:tc>
          <w:tcPr>
            <w:tcW w:w="2666" w:type="dxa"/>
            <w:vAlign w:val="center"/>
          </w:tcPr>
          <w:p>
            <w:pPr>
              <w:spacing w:line="240" w:lineRule="auto"/>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cs="Times New Roman"/>
                <w:color w:val="000000" w:themeColor="text1"/>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3</w:t>
            </w:r>
          </w:p>
        </w:tc>
        <w:tc>
          <w:tcPr>
            <w:tcW w:w="1740" w:type="dxa"/>
          </w:tcPr>
          <w:p>
            <w:pPr>
              <w:spacing w:line="240" w:lineRule="auto"/>
              <w:jc w:val="center"/>
              <w:rPr>
                <w:rFonts w:hint="default" w:ascii="Times New Roman" w:hAnsi="Times New Roman" w:cs="Times New Roman"/>
                <w:color w:val="000000" w:themeColor="text1"/>
              </w:rPr>
            </w:pPr>
            <w:r>
              <w:rPr>
                <w:rFonts w:hint="default" w:ascii="Times New Roman" w:hAnsi="Times New Roman" w:cs="Times New Roman"/>
                <w:color w:val="000000" w:themeColor="text1"/>
                <w:sz w:val="21"/>
                <w:szCs w:val="21"/>
              </w:rPr>
              <w:t>海康威视摄相头</w:t>
            </w:r>
          </w:p>
        </w:tc>
        <w:tc>
          <w:tcPr>
            <w:tcW w:w="4241" w:type="dxa"/>
            <w:vAlign w:val="center"/>
          </w:tcPr>
          <w:p>
            <w:pPr>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402生产研发楼</w:t>
            </w:r>
            <w:r>
              <w:rPr>
                <w:rFonts w:hint="default" w:ascii="Times New Roman" w:hAnsi="Times New Roman" w:cs="Times New Roman"/>
                <w:color w:val="000000" w:themeColor="text1"/>
                <w:sz w:val="21"/>
                <w:szCs w:val="21"/>
              </w:rPr>
              <w:t>及厂区道路</w:t>
            </w:r>
          </w:p>
        </w:tc>
        <w:tc>
          <w:tcPr>
            <w:tcW w:w="2666" w:type="dxa"/>
            <w:vAlign w:val="center"/>
          </w:tcPr>
          <w:p>
            <w:pPr>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4</w:t>
            </w:r>
          </w:p>
        </w:tc>
        <w:tc>
          <w:tcPr>
            <w:tcW w:w="1740" w:type="dxa"/>
          </w:tcPr>
          <w:p>
            <w:pPr>
              <w:spacing w:line="240" w:lineRule="auto"/>
              <w:jc w:val="center"/>
              <w:rPr>
                <w:rFonts w:hint="default" w:ascii="Times New Roman" w:hAnsi="Times New Roman" w:cs="Times New Roman"/>
                <w:color w:val="000000" w:themeColor="text1"/>
              </w:rPr>
            </w:pPr>
            <w:r>
              <w:rPr>
                <w:rFonts w:hint="default" w:ascii="Times New Roman" w:hAnsi="Times New Roman" w:cs="Times New Roman"/>
                <w:color w:val="000000" w:themeColor="text1"/>
                <w:sz w:val="21"/>
                <w:szCs w:val="21"/>
              </w:rPr>
              <w:t>海康威视摄相头</w:t>
            </w:r>
          </w:p>
        </w:tc>
        <w:tc>
          <w:tcPr>
            <w:tcW w:w="4241" w:type="dxa"/>
            <w:vAlign w:val="center"/>
          </w:tcPr>
          <w:p>
            <w:pPr>
              <w:spacing w:line="240" w:lineRule="auto"/>
              <w:jc w:val="center"/>
              <w:rPr>
                <w:rFonts w:hint="default" w:ascii="Times New Roman" w:hAnsi="Times New Roman" w:eastAsia="宋体" w:cs="Times New Roman"/>
                <w:color w:val="000000" w:themeColor="text1"/>
                <w:sz w:val="22"/>
                <w:szCs w:val="22"/>
                <w:lang w:val="en-US" w:eastAsia="zh-CN"/>
              </w:rPr>
            </w:pPr>
            <w:r>
              <w:rPr>
                <w:rFonts w:hint="default" w:ascii="Times New Roman" w:hAnsi="Times New Roman" w:cs="Times New Roman"/>
                <w:color w:val="000000" w:themeColor="text1"/>
                <w:sz w:val="22"/>
                <w:szCs w:val="22"/>
                <w:lang w:val="en-US" w:eastAsia="zh-CN"/>
              </w:rPr>
              <w:t>203烘干包装库、204成品仓库一、308半成品仓库一</w:t>
            </w:r>
          </w:p>
        </w:tc>
        <w:tc>
          <w:tcPr>
            <w:tcW w:w="2666" w:type="dxa"/>
            <w:vAlign w:val="center"/>
          </w:tcPr>
          <w:p>
            <w:pPr>
              <w:spacing w:line="240" w:lineRule="auto"/>
              <w:jc w:val="center"/>
              <w:rPr>
                <w:rFonts w:hint="default" w:ascii="Times New Roman" w:hAnsi="Times New Roman" w:eastAsia="宋体" w:cs="Times New Roman"/>
                <w:color w:val="000000" w:themeColor="text1"/>
                <w:sz w:val="22"/>
                <w:szCs w:val="22"/>
                <w:lang w:eastAsia="zh-CN"/>
              </w:rPr>
            </w:pPr>
            <w:r>
              <w:rPr>
                <w:rFonts w:hint="default" w:ascii="Times New Roman" w:hAnsi="Times New Roman" w:cs="Times New Roman"/>
                <w:color w:val="000000" w:themeColor="text1"/>
                <w:sz w:val="22"/>
                <w:szCs w:val="2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5</w:t>
            </w:r>
          </w:p>
        </w:tc>
        <w:tc>
          <w:tcPr>
            <w:tcW w:w="1740" w:type="dxa"/>
          </w:tcPr>
          <w:p>
            <w:pPr>
              <w:spacing w:line="240" w:lineRule="auto"/>
              <w:jc w:val="center"/>
              <w:rPr>
                <w:rFonts w:hint="default" w:ascii="Times New Roman" w:hAnsi="Times New Roman" w:cs="Times New Roman"/>
                <w:color w:val="000000" w:themeColor="text1"/>
              </w:rPr>
            </w:pPr>
            <w:r>
              <w:rPr>
                <w:rFonts w:hint="default" w:ascii="Times New Roman" w:hAnsi="Times New Roman" w:cs="Times New Roman"/>
                <w:color w:val="000000" w:themeColor="text1"/>
                <w:sz w:val="21"/>
                <w:szCs w:val="21"/>
              </w:rPr>
              <w:t>海康威视摄相头</w:t>
            </w:r>
          </w:p>
        </w:tc>
        <w:tc>
          <w:tcPr>
            <w:tcW w:w="4241" w:type="dxa"/>
            <w:vAlign w:val="center"/>
          </w:tcPr>
          <w:p>
            <w:pPr>
              <w:spacing w:line="240" w:lineRule="auto"/>
              <w:jc w:val="center"/>
              <w:rPr>
                <w:rFonts w:hint="default" w:ascii="Times New Roman" w:hAnsi="Times New Roman" w:eastAsia="宋体" w:cs="Times New Roman"/>
                <w:color w:val="000000" w:themeColor="text1"/>
                <w:sz w:val="22"/>
                <w:szCs w:val="22"/>
                <w:lang w:val="en-US" w:eastAsia="zh-CN"/>
              </w:rPr>
            </w:pPr>
            <w:r>
              <w:rPr>
                <w:rFonts w:hint="default" w:ascii="Times New Roman" w:hAnsi="Times New Roman" w:cs="Times New Roman"/>
                <w:color w:val="000000" w:themeColor="text1"/>
                <w:sz w:val="22"/>
                <w:szCs w:val="22"/>
              </w:rPr>
              <w:t>30</w:t>
            </w:r>
            <w:r>
              <w:rPr>
                <w:rFonts w:hint="default" w:ascii="Times New Roman" w:hAnsi="Times New Roman" w:cs="Times New Roman"/>
                <w:color w:val="000000" w:themeColor="text1"/>
                <w:sz w:val="22"/>
                <w:szCs w:val="22"/>
                <w:lang w:val="en-US" w:eastAsia="zh-CN"/>
              </w:rPr>
              <w:t>1变配电间</w:t>
            </w:r>
          </w:p>
        </w:tc>
        <w:tc>
          <w:tcPr>
            <w:tcW w:w="2666" w:type="dxa"/>
            <w:vAlign w:val="center"/>
          </w:tcPr>
          <w:p>
            <w:pPr>
              <w:spacing w:line="240" w:lineRule="auto"/>
              <w:jc w:val="center"/>
              <w:rPr>
                <w:rFonts w:hint="default" w:ascii="Times New Roman" w:hAnsi="Times New Roman" w:eastAsia="宋体" w:cs="Times New Roman"/>
                <w:color w:val="000000" w:themeColor="text1"/>
                <w:sz w:val="22"/>
                <w:szCs w:val="22"/>
                <w:lang w:eastAsia="zh-CN"/>
              </w:rPr>
            </w:pPr>
            <w:r>
              <w:rPr>
                <w:rFonts w:hint="default" w:ascii="Times New Roman" w:hAnsi="Times New Roman" w:cs="Times New Roman"/>
                <w:color w:val="000000" w:themeColor="text1"/>
                <w:sz w:val="22"/>
                <w:szCs w:val="22"/>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pPr>
              <w:spacing w:line="240" w:lineRule="auto"/>
              <w:jc w:val="center"/>
              <w:rPr>
                <w:rFonts w:hint="default" w:ascii="Times New Roman" w:hAnsi="Times New Roman" w:cs="Times New Roman"/>
                <w:color w:val="000000" w:themeColor="text1"/>
                <w:sz w:val="21"/>
                <w:szCs w:val="21"/>
              </w:rPr>
            </w:pPr>
          </w:p>
        </w:tc>
        <w:tc>
          <w:tcPr>
            <w:tcW w:w="1740" w:type="dxa"/>
          </w:tcPr>
          <w:p>
            <w:pPr>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合计：</w:t>
            </w:r>
          </w:p>
        </w:tc>
        <w:tc>
          <w:tcPr>
            <w:tcW w:w="4241" w:type="dxa"/>
          </w:tcPr>
          <w:p>
            <w:pPr>
              <w:spacing w:line="240" w:lineRule="auto"/>
              <w:jc w:val="center"/>
              <w:rPr>
                <w:rFonts w:hint="default" w:ascii="Times New Roman" w:hAnsi="Times New Roman" w:cs="Times New Roman"/>
                <w:color w:val="000000" w:themeColor="text1"/>
                <w:sz w:val="21"/>
                <w:szCs w:val="21"/>
              </w:rPr>
            </w:pPr>
          </w:p>
        </w:tc>
        <w:tc>
          <w:tcPr>
            <w:tcW w:w="2666" w:type="dxa"/>
          </w:tcPr>
          <w:p>
            <w:pPr>
              <w:spacing w:line="240" w:lineRule="auto"/>
              <w:jc w:val="center"/>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lang w:val="en-US" w:eastAsia="zh-CN"/>
              </w:rPr>
              <w:t>13</w:t>
            </w:r>
            <w:r>
              <w:rPr>
                <w:rFonts w:hint="default" w:ascii="Times New Roman" w:hAnsi="Times New Roman" w:cs="Times New Roman"/>
                <w:color w:val="000000" w:themeColor="text1"/>
                <w:sz w:val="21"/>
                <w:szCs w:val="21"/>
              </w:rPr>
              <w:t>个</w:t>
            </w:r>
          </w:p>
        </w:tc>
      </w:tr>
    </w:tbl>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eastAsia="zh-CN"/>
        </w:rPr>
        <w:t>8</w:t>
      </w:r>
      <w:r>
        <w:rPr>
          <w:rFonts w:hint="default" w:ascii="Times New Roman" w:hAnsi="Times New Roman" w:cs="Times New Roman"/>
        </w:rPr>
        <w:t>消防设施</w:t>
      </w:r>
    </w:p>
    <w:p>
      <w:pPr>
        <w:numPr>
          <w:ilvl w:val="0"/>
          <w:numId w:val="11"/>
        </w:numPr>
        <w:ind w:firstLine="560" w:firstLineChars="200"/>
        <w:rPr>
          <w:rFonts w:hint="default" w:ascii="Times New Roman" w:hAnsi="Times New Roman" w:cs="Times New Roman"/>
        </w:rPr>
      </w:pPr>
      <w:r>
        <w:rPr>
          <w:rFonts w:hint="default" w:ascii="Times New Roman" w:hAnsi="Times New Roman" w:cs="Times New Roman"/>
        </w:rPr>
        <w:t>消防水系统</w:t>
      </w:r>
    </w:p>
    <w:p>
      <w:pPr>
        <w:ind w:firstLine="560" w:firstLineChars="200"/>
        <w:rPr>
          <w:rFonts w:hint="default" w:ascii="Times New Roman" w:hAnsi="Times New Roman" w:cs="Times New Roman"/>
        </w:rPr>
      </w:pPr>
      <w:r>
        <w:rPr>
          <w:rFonts w:hint="default" w:ascii="Times New Roman" w:hAnsi="Times New Roman" w:cs="Times New Roman"/>
        </w:rPr>
        <w:t>依据《消防给水及消火栓系统技术规范》第3.1.1条，该</w:t>
      </w:r>
      <w:r>
        <w:rPr>
          <w:rFonts w:hint="eastAsia" w:cs="Times New Roman"/>
          <w:lang w:val="en-US" w:eastAsia="zh-CN"/>
        </w:rPr>
        <w:t>企业</w:t>
      </w:r>
      <w:r>
        <w:rPr>
          <w:rFonts w:hint="default" w:ascii="Times New Roman" w:hAnsi="Times New Roman" w:cs="Times New Roman"/>
        </w:rPr>
        <w:t>占地面积小于100hm</w:t>
      </w:r>
      <w:r>
        <w:rPr>
          <w:rFonts w:hint="default" w:ascii="Times New Roman" w:hAnsi="Times New Roman" w:cs="Times New Roman"/>
          <w:vertAlign w:val="superscript"/>
        </w:rPr>
        <w:t>2</w:t>
      </w:r>
      <w:r>
        <w:rPr>
          <w:rFonts w:hint="default" w:ascii="Times New Roman" w:hAnsi="Times New Roman" w:cs="Times New Roman"/>
        </w:rPr>
        <w:t>，且附有居住区人数小于1.5万人时，同一时间内的火灾起数按1起确定。</w:t>
      </w:r>
    </w:p>
    <w:p>
      <w:pPr>
        <w:ind w:firstLine="560" w:firstLineChars="200"/>
        <w:rPr>
          <w:rFonts w:hint="default" w:ascii="Times New Roman" w:hAnsi="Times New Roman" w:cs="Times New Roman"/>
        </w:rPr>
      </w:pPr>
      <w:r>
        <w:rPr>
          <w:rFonts w:hint="default" w:ascii="Times New Roman" w:hAnsi="Times New Roman" w:cs="Times New Roman"/>
        </w:rPr>
        <w:t>根据《消防给水及消火栓系统技术规范》GB50974-2014，消防用水需水量最大为102生产车间二（丁类），占地面积886m</w:t>
      </w:r>
      <w:r>
        <w:rPr>
          <w:rFonts w:hint="default" w:ascii="Times New Roman" w:hAnsi="Times New Roman" w:cs="Times New Roman"/>
          <w:vertAlign w:val="superscript"/>
        </w:rPr>
        <w:t>2</w:t>
      </w:r>
      <w:r>
        <w:rPr>
          <w:rFonts w:hint="default" w:ascii="Times New Roman" w:hAnsi="Times New Roman" w:cs="Times New Roman"/>
        </w:rPr>
        <w:t>，高12m，V=886×12=10632m</w:t>
      </w:r>
      <w:r>
        <w:rPr>
          <w:rFonts w:hint="default" w:ascii="Times New Roman" w:hAnsi="Times New Roman" w:cs="Times New Roman"/>
          <w:vertAlign w:val="superscript"/>
        </w:rPr>
        <w:t>3</w:t>
      </w:r>
      <w:r>
        <w:rPr>
          <w:rFonts w:hint="default" w:ascii="Times New Roman" w:hAnsi="Times New Roman" w:cs="Times New Roman"/>
        </w:rPr>
        <w:t>，5000＜V≤20000m</w:t>
      </w:r>
      <w:r>
        <w:rPr>
          <w:rFonts w:hint="default" w:ascii="Times New Roman" w:hAnsi="Times New Roman" w:cs="Times New Roman"/>
          <w:vertAlign w:val="superscript"/>
        </w:rPr>
        <w:t>3</w:t>
      </w:r>
      <w:r>
        <w:rPr>
          <w:rFonts w:hint="default" w:ascii="Times New Roman" w:hAnsi="Times New Roman" w:cs="Times New Roman"/>
        </w:rPr>
        <w:t>，根据《消防给水及消火栓系统技术规范》第3.3.2条，其室外消火栓用水量为15L/s，根据《消防给水及消火栓系统技术规范》第3.5.2条的规定，其室内消火栓用水量为10L/s，总消火栓用水量为25L/s。火灾延续时间2小时，消防用水量为V=2×3600×25/1000=180m</w:t>
      </w:r>
      <w:r>
        <w:rPr>
          <w:rFonts w:hint="default" w:ascii="Times New Roman" w:hAnsi="Times New Roman" w:cs="Times New Roman"/>
          <w:vertAlign w:val="superscript"/>
        </w:rPr>
        <w:t>3</w:t>
      </w:r>
      <w:r>
        <w:rPr>
          <w:rFonts w:hint="default" w:ascii="Times New Roman" w:hAnsi="Times New Roman" w:cs="Times New Roman"/>
        </w:rPr>
        <w:t>。</w:t>
      </w:r>
    </w:p>
    <w:p>
      <w:pPr>
        <w:pStyle w:val="12"/>
        <w:ind w:firstLine="560" w:firstLineChars="200"/>
        <w:rPr>
          <w:rFonts w:hint="default" w:ascii="Times New Roman" w:hAnsi="Times New Roman" w:cs="Times New Roman"/>
        </w:rPr>
      </w:pPr>
      <w:r>
        <w:rPr>
          <w:rFonts w:hint="default" w:ascii="Times New Roman" w:hAnsi="Times New Roman" w:cs="Times New Roman"/>
        </w:rPr>
        <w:t>该</w:t>
      </w:r>
      <w:r>
        <w:rPr>
          <w:rFonts w:hint="eastAsia" w:ascii="Times New Roman" w:hAnsi="Times New Roman" w:cs="Times New Roman"/>
          <w:lang w:val="en-US" w:eastAsia="zh-CN"/>
        </w:rPr>
        <w:t>企业</w:t>
      </w:r>
      <w:r>
        <w:rPr>
          <w:rFonts w:hint="default" w:ascii="Times New Roman" w:hAnsi="Times New Roman" w:cs="Times New Roman"/>
        </w:rPr>
        <w:t>消防给水系统采用临时高压消防系统，并且项目配置ZW-Ⅱ-X-C消防稳压系统。公司利用丰溪河为厂区消防供水，在丰溪河旁设置有消防水泵4台，二备二用。2台流量为100m</w:t>
      </w:r>
      <w:r>
        <w:rPr>
          <w:rFonts w:hint="default" w:ascii="Times New Roman" w:hAnsi="Times New Roman" w:cs="Times New Roman"/>
          <w:vertAlign w:val="superscript"/>
        </w:rPr>
        <w:t>3</w:t>
      </w:r>
      <w:r>
        <w:rPr>
          <w:rFonts w:hint="default" w:ascii="Times New Roman" w:hAnsi="Times New Roman" w:cs="Times New Roman"/>
        </w:rPr>
        <w:t>/h（约合27.8L/s），N=22kW潜水消防泵；2台流量为30m</w:t>
      </w:r>
      <w:r>
        <w:rPr>
          <w:rFonts w:hint="default" w:ascii="Times New Roman" w:hAnsi="Times New Roman" w:cs="Times New Roman"/>
          <w:vertAlign w:val="superscript"/>
        </w:rPr>
        <w:t>3</w:t>
      </w:r>
      <w:r>
        <w:rPr>
          <w:rFonts w:hint="default" w:ascii="Times New Roman" w:hAnsi="Times New Roman" w:cs="Times New Roman"/>
        </w:rPr>
        <w:t>/h（约合8.3L/s），N=15kW消防稳压泵。两组消防泵并联连接进入消防管网，消防水泵流量共计36.1L/s，能够满足该项目最大一次火灾的消防水量要求。</w:t>
      </w:r>
    </w:p>
    <w:p>
      <w:pPr>
        <w:ind w:firstLine="560" w:firstLineChars="200"/>
        <w:rPr>
          <w:rFonts w:hint="default" w:ascii="Times New Roman" w:hAnsi="Times New Roman" w:cs="Times New Roman"/>
        </w:rPr>
      </w:pPr>
      <w:r>
        <w:rPr>
          <w:rFonts w:hint="default" w:ascii="Times New Roman" w:hAnsi="Times New Roman" w:cs="Times New Roman"/>
        </w:rPr>
        <w:t>室外消防管网布置成环状，管径为DN200，采用阀门分成若干独立管段，布置了</w:t>
      </w:r>
      <w:r>
        <w:rPr>
          <w:rFonts w:hint="default" w:ascii="Times New Roman" w:hAnsi="Times New Roman" w:cs="Times New Roman"/>
          <w:lang w:val="en-US" w:eastAsia="zh-CN"/>
        </w:rPr>
        <w:t>3</w:t>
      </w:r>
      <w:r>
        <w:rPr>
          <w:rFonts w:hint="default" w:ascii="Times New Roman" w:hAnsi="Times New Roman" w:cs="Times New Roman"/>
        </w:rPr>
        <w:t>个室外地上式消火栓，型号为SS100/6.5-1.6，其间距不超50m。在车间、仓库等处布置了一定数量的室内消火栓，室内消火栓间距不超过30m。</w:t>
      </w:r>
    </w:p>
    <w:p>
      <w:pPr>
        <w:ind w:firstLine="560" w:firstLineChars="200"/>
        <w:rPr>
          <w:rFonts w:hint="default" w:ascii="Times New Roman" w:hAnsi="Times New Roman" w:cs="Times New Roman"/>
        </w:rPr>
      </w:pPr>
      <w:r>
        <w:rPr>
          <w:rFonts w:hint="default" w:ascii="Times New Roman" w:hAnsi="Times New Roman" w:cs="Times New Roman"/>
        </w:rPr>
        <w:t>2、灭火器配置</w:t>
      </w:r>
    </w:p>
    <w:p>
      <w:pPr>
        <w:ind w:firstLine="560" w:firstLineChars="200"/>
        <w:rPr>
          <w:rFonts w:hint="default" w:ascii="Times New Roman" w:hAnsi="Times New Roman" w:eastAsia="宋体" w:cs="Times New Roman"/>
          <w:lang w:val="en-US" w:eastAsia="zh-CN"/>
        </w:rPr>
      </w:pPr>
      <w:r>
        <w:rPr>
          <w:rFonts w:hint="default" w:ascii="Times New Roman" w:hAnsi="Times New Roman" w:cs="Times New Roman"/>
        </w:rPr>
        <w:t>根据《建筑灭火器配置设计规范》要求，在各建筑物内设置一定数量MF/ABC</w:t>
      </w:r>
      <w:r>
        <w:rPr>
          <w:rFonts w:hint="default" w:ascii="Times New Roman" w:hAnsi="Times New Roman" w:cs="Times New Roman"/>
          <w:lang w:val="en-US" w:eastAsia="zh-CN"/>
        </w:rPr>
        <w:t>4、</w:t>
      </w:r>
      <w:r>
        <w:rPr>
          <w:rFonts w:hint="default" w:ascii="Times New Roman" w:hAnsi="Times New Roman" w:cs="Times New Roman"/>
        </w:rPr>
        <w:t>MF/ABC8型手提式磷酸铵盐干粉灭火器</w:t>
      </w:r>
      <w:r>
        <w:rPr>
          <w:rFonts w:hint="default" w:ascii="Times New Roman" w:hAnsi="Times New Roman" w:cs="Times New Roman"/>
          <w:lang w:eastAsia="zh-CN"/>
        </w:rPr>
        <w:t>。</w:t>
      </w:r>
    </w:p>
    <w:p>
      <w:pPr>
        <w:ind w:firstLine="560" w:firstLineChars="200"/>
        <w:rPr>
          <w:rFonts w:hint="default" w:ascii="Times New Roman" w:hAnsi="Times New Roman" w:cs="Times New Roman"/>
        </w:rPr>
      </w:pPr>
      <w:r>
        <w:rPr>
          <w:rFonts w:hint="default" w:ascii="Times New Roman" w:hAnsi="Times New Roman" w:cs="Times New Roman"/>
        </w:rPr>
        <w:t>3、消防通道</w:t>
      </w:r>
    </w:p>
    <w:p>
      <w:pPr>
        <w:ind w:firstLine="560" w:firstLineChars="200"/>
        <w:rPr>
          <w:rFonts w:hint="default" w:ascii="Times New Roman" w:hAnsi="Times New Roman" w:cs="Times New Roman"/>
        </w:rPr>
      </w:pPr>
      <w:r>
        <w:rPr>
          <w:rFonts w:hint="default" w:ascii="Times New Roman" w:hAnsi="Times New Roman" w:cs="Times New Roman"/>
        </w:rPr>
        <w:t>该公司道路采用城市郊区型，道路布置为环形道路布置，厂区主要道路宽度不小于</w:t>
      </w:r>
      <w:r>
        <w:rPr>
          <w:rFonts w:hint="default" w:ascii="Times New Roman" w:hAnsi="Times New Roman" w:cs="Times New Roman"/>
          <w:lang w:val="en-US" w:eastAsia="zh-CN"/>
        </w:rPr>
        <w:t>6</w:t>
      </w:r>
      <w:r>
        <w:rPr>
          <w:rFonts w:hint="default" w:ascii="Times New Roman" w:hAnsi="Times New Roman" w:cs="Times New Roman"/>
        </w:rPr>
        <w:t>m，其他道路及环行消防通道宽度不小于</w:t>
      </w:r>
      <w:r>
        <w:rPr>
          <w:rFonts w:hint="default" w:ascii="Times New Roman" w:hAnsi="Times New Roman" w:cs="Times New Roman"/>
          <w:lang w:val="en-US" w:eastAsia="zh-CN"/>
        </w:rPr>
        <w:t>4</w:t>
      </w:r>
      <w:r>
        <w:rPr>
          <w:rFonts w:hint="default" w:ascii="Times New Roman" w:hAnsi="Times New Roman" w:cs="Times New Roman"/>
        </w:rPr>
        <w:t>m，路面结构采用砼路面。</w:t>
      </w:r>
    </w:p>
    <w:p>
      <w:pPr>
        <w:ind w:firstLine="560" w:firstLineChars="200"/>
        <w:rPr>
          <w:rFonts w:hint="default" w:ascii="Times New Roman" w:hAnsi="Times New Roman" w:cs="Times New Roman"/>
        </w:rPr>
      </w:pPr>
      <w:r>
        <w:rPr>
          <w:rFonts w:hint="default" w:ascii="Times New Roman" w:hAnsi="Times New Roman" w:cs="Times New Roman"/>
        </w:rPr>
        <w:t>该公司于20</w:t>
      </w:r>
      <w:r>
        <w:rPr>
          <w:rFonts w:hint="default" w:ascii="Times New Roman" w:hAnsi="Times New Roman" w:cs="Times New Roman"/>
          <w:lang w:val="en-US" w:eastAsia="zh-CN"/>
        </w:rPr>
        <w:t>09</w:t>
      </w:r>
      <w:r>
        <w:rPr>
          <w:rFonts w:hint="default" w:ascii="Times New Roman" w:hAnsi="Times New Roman" w:cs="Times New Roman"/>
        </w:rPr>
        <w:t>年1</w:t>
      </w:r>
      <w:r>
        <w:rPr>
          <w:rFonts w:hint="default" w:ascii="Times New Roman" w:hAnsi="Times New Roman" w:cs="Times New Roman"/>
          <w:lang w:val="en-US" w:eastAsia="zh-CN"/>
        </w:rPr>
        <w:t>0</w:t>
      </w:r>
      <w:r>
        <w:rPr>
          <w:rFonts w:hint="default" w:ascii="Times New Roman" w:hAnsi="Times New Roman" w:cs="Times New Roman"/>
        </w:rPr>
        <w:t>月</w:t>
      </w:r>
      <w:r>
        <w:rPr>
          <w:rFonts w:hint="default" w:ascii="Times New Roman" w:hAnsi="Times New Roman" w:cs="Times New Roman"/>
          <w:lang w:val="en-US" w:eastAsia="zh-CN"/>
        </w:rPr>
        <w:t>30</w:t>
      </w:r>
      <w:r>
        <w:rPr>
          <w:rFonts w:hint="default" w:ascii="Times New Roman" w:hAnsi="Times New Roman" w:cs="Times New Roman"/>
        </w:rPr>
        <w:t>日经</w:t>
      </w:r>
      <w:r>
        <w:rPr>
          <w:rFonts w:hint="default" w:ascii="Times New Roman" w:hAnsi="Times New Roman" w:cs="Times New Roman"/>
          <w:lang w:val="en-US" w:eastAsia="zh-CN"/>
        </w:rPr>
        <w:t>广丰县</w:t>
      </w:r>
      <w:r>
        <w:rPr>
          <w:rFonts w:hint="default" w:ascii="Times New Roman" w:hAnsi="Times New Roman" w:cs="Times New Roman"/>
        </w:rPr>
        <w:t>公安消防大队消防验收合格，并取得消防验收合格意见书（</w:t>
      </w:r>
      <w:r>
        <w:rPr>
          <w:rFonts w:hint="default" w:ascii="Times New Roman" w:hAnsi="Times New Roman" w:cs="Times New Roman"/>
          <w:lang w:val="en-US" w:eastAsia="zh-CN"/>
        </w:rPr>
        <w:t>广</w:t>
      </w:r>
      <w:r>
        <w:rPr>
          <w:rFonts w:hint="default" w:ascii="Times New Roman" w:hAnsi="Times New Roman" w:cs="Times New Roman"/>
        </w:rPr>
        <w:t>公消验【2</w:t>
      </w:r>
      <w:r>
        <w:rPr>
          <w:rFonts w:hint="default" w:ascii="Times New Roman" w:hAnsi="Times New Roman" w:cs="Times New Roman"/>
          <w:lang w:val="en-US" w:eastAsia="zh-CN"/>
        </w:rPr>
        <w:t>009</w:t>
      </w:r>
      <w:r>
        <w:rPr>
          <w:rFonts w:hint="default" w:ascii="Times New Roman" w:hAnsi="Times New Roman" w:cs="Times New Roman"/>
        </w:rPr>
        <w:t>】第</w:t>
      </w:r>
      <w:r>
        <w:rPr>
          <w:rFonts w:hint="default" w:ascii="Times New Roman" w:hAnsi="Times New Roman" w:cs="Times New Roman"/>
          <w:lang w:val="en-US" w:eastAsia="zh-CN"/>
        </w:rPr>
        <w:t>10</w:t>
      </w:r>
      <w:r>
        <w:rPr>
          <w:rFonts w:hint="default" w:ascii="Times New Roman" w:hAnsi="Times New Roman" w:cs="Times New Roman"/>
        </w:rPr>
        <w:t>号）。该</w:t>
      </w:r>
      <w:r>
        <w:rPr>
          <w:rFonts w:hint="eastAsia" w:cs="Times New Roman"/>
          <w:lang w:val="en-US" w:eastAsia="zh-CN"/>
        </w:rPr>
        <w:t>企业</w:t>
      </w:r>
      <w:r>
        <w:rPr>
          <w:rFonts w:hint="default" w:ascii="Times New Roman" w:hAnsi="Times New Roman" w:cs="Times New Roman"/>
        </w:rPr>
        <w:t>的主要消防器材清单如下表：</w:t>
      </w:r>
    </w:p>
    <w:p>
      <w:pPr>
        <w:jc w:val="center"/>
        <w:rPr>
          <w:rFonts w:hint="default" w:ascii="Times New Roman" w:hAnsi="Times New Roman" w:cs="Times New Roman"/>
        </w:rPr>
      </w:pPr>
      <w:r>
        <w:rPr>
          <w:rFonts w:hint="default" w:ascii="Times New Roman" w:hAnsi="Times New Roman" w:cs="Times New Roman"/>
        </w:rPr>
        <w:t>表2.</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eastAsia="zh-CN"/>
        </w:rPr>
        <w:t>9</w:t>
      </w:r>
      <w:r>
        <w:rPr>
          <w:rFonts w:hint="default" w:ascii="Times New Roman" w:hAnsi="Times New Roman" w:cs="Times New Roman"/>
        </w:rPr>
        <w:t>-1 消防设施一览表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540"/>
        <w:gridCol w:w="2101"/>
        <w:gridCol w:w="701"/>
        <w:gridCol w:w="702"/>
        <w:gridCol w:w="2780"/>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154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设备名称</w:t>
            </w:r>
          </w:p>
        </w:tc>
        <w:tc>
          <w:tcPr>
            <w:tcW w:w="21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规格型号</w:t>
            </w:r>
          </w:p>
        </w:tc>
        <w:tc>
          <w:tcPr>
            <w:tcW w:w="7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单位</w:t>
            </w:r>
          </w:p>
        </w:tc>
        <w:tc>
          <w:tcPr>
            <w:tcW w:w="70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数量</w:t>
            </w:r>
          </w:p>
        </w:tc>
        <w:tc>
          <w:tcPr>
            <w:tcW w:w="278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安装位置</w:t>
            </w:r>
          </w:p>
        </w:tc>
        <w:tc>
          <w:tcPr>
            <w:tcW w:w="656"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40" w:type="dxa"/>
            <w:noWrap w:val="0"/>
            <w:vAlign w:val="center"/>
          </w:tcPr>
          <w:p>
            <w:pPr>
              <w:spacing w:line="240" w:lineRule="auto"/>
              <w:jc w:val="center"/>
              <w:rPr>
                <w:rFonts w:hint="default" w:ascii="Times New Roman" w:hAnsi="Times New Roman" w:cs="Times New Roman"/>
                <w:sz w:val="21"/>
                <w:szCs w:val="21"/>
              </w:rPr>
            </w:pPr>
            <w:r>
              <w:rPr>
                <w:rFonts w:hint="eastAsia" w:cs="Times New Roman"/>
                <w:sz w:val="21"/>
                <w:szCs w:val="21"/>
                <w:lang w:val="en-US" w:eastAsia="zh-CN"/>
              </w:rPr>
              <w:t>消防稳压</w:t>
            </w:r>
            <w:r>
              <w:rPr>
                <w:rFonts w:hint="default" w:ascii="Times New Roman" w:hAnsi="Times New Roman" w:cs="Times New Roman"/>
                <w:sz w:val="21"/>
                <w:szCs w:val="21"/>
              </w:rPr>
              <w:t>泵</w:t>
            </w:r>
          </w:p>
        </w:tc>
        <w:tc>
          <w:tcPr>
            <w:tcW w:w="2101"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30m</w:t>
            </w:r>
            <w:r>
              <w:rPr>
                <w:rFonts w:hint="eastAsia" w:cs="Times New Roman"/>
                <w:sz w:val="21"/>
                <w:szCs w:val="21"/>
                <w:vertAlign w:val="superscript"/>
                <w:lang w:val="en-US" w:eastAsia="zh-CN"/>
              </w:rPr>
              <w:t>3</w:t>
            </w:r>
            <w:r>
              <w:rPr>
                <w:rFonts w:hint="eastAsia" w:cs="Times New Roman"/>
                <w:sz w:val="21"/>
                <w:szCs w:val="21"/>
                <w:lang w:val="en-US" w:eastAsia="zh-CN"/>
              </w:rPr>
              <w:t>/h</w:t>
            </w:r>
          </w:p>
        </w:tc>
        <w:tc>
          <w:tcPr>
            <w:tcW w:w="7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个</w:t>
            </w:r>
          </w:p>
        </w:tc>
        <w:tc>
          <w:tcPr>
            <w:tcW w:w="70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78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厂区外水泵房</w:t>
            </w:r>
          </w:p>
        </w:tc>
        <w:tc>
          <w:tcPr>
            <w:tcW w:w="656" w:type="dxa"/>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40" w:type="dxa"/>
            <w:noWrap w:val="0"/>
            <w:vAlign w:val="center"/>
          </w:tcPr>
          <w:p>
            <w:pPr>
              <w:spacing w:line="240" w:lineRule="auto"/>
              <w:jc w:val="center"/>
              <w:rPr>
                <w:rFonts w:hint="default" w:cs="Times New Roman"/>
                <w:sz w:val="21"/>
                <w:szCs w:val="21"/>
                <w:lang w:val="en-US" w:eastAsia="zh-CN"/>
              </w:rPr>
            </w:pPr>
            <w:r>
              <w:rPr>
                <w:rFonts w:hint="eastAsia" w:cs="Times New Roman"/>
                <w:sz w:val="21"/>
                <w:szCs w:val="21"/>
                <w:lang w:val="en-US" w:eastAsia="zh-CN"/>
              </w:rPr>
              <w:t>潜水消防泵</w:t>
            </w:r>
          </w:p>
        </w:tc>
        <w:tc>
          <w:tcPr>
            <w:tcW w:w="2101" w:type="dxa"/>
            <w:noWrap w:val="0"/>
            <w:vAlign w:val="center"/>
          </w:tcPr>
          <w:p>
            <w:pPr>
              <w:spacing w:line="240" w:lineRule="auto"/>
              <w:jc w:val="center"/>
              <w:rPr>
                <w:rFonts w:hint="default" w:cs="Times New Roman"/>
                <w:sz w:val="21"/>
                <w:szCs w:val="21"/>
                <w:lang w:val="en-US" w:eastAsia="zh-CN"/>
              </w:rPr>
            </w:pPr>
            <w:r>
              <w:rPr>
                <w:rFonts w:hint="eastAsia" w:cs="Times New Roman"/>
                <w:sz w:val="21"/>
                <w:szCs w:val="21"/>
                <w:lang w:val="en-US" w:eastAsia="zh-CN"/>
              </w:rPr>
              <w:t>100m</w:t>
            </w:r>
            <w:r>
              <w:rPr>
                <w:rFonts w:hint="eastAsia" w:cs="Times New Roman"/>
                <w:sz w:val="21"/>
                <w:szCs w:val="21"/>
                <w:vertAlign w:val="superscript"/>
                <w:lang w:val="en-US" w:eastAsia="zh-CN"/>
              </w:rPr>
              <w:t>3</w:t>
            </w:r>
            <w:r>
              <w:rPr>
                <w:rFonts w:hint="eastAsia" w:cs="Times New Roman"/>
                <w:sz w:val="21"/>
                <w:szCs w:val="21"/>
                <w:lang w:val="en-US" w:eastAsia="zh-CN"/>
              </w:rPr>
              <w:t>/h</w:t>
            </w:r>
          </w:p>
        </w:tc>
        <w:tc>
          <w:tcPr>
            <w:tcW w:w="701" w:type="dxa"/>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个</w:t>
            </w:r>
          </w:p>
        </w:tc>
        <w:tc>
          <w:tcPr>
            <w:tcW w:w="702" w:type="dxa"/>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w:t>
            </w:r>
          </w:p>
        </w:tc>
        <w:tc>
          <w:tcPr>
            <w:tcW w:w="2780"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丰溪河旁</w:t>
            </w:r>
          </w:p>
        </w:tc>
        <w:tc>
          <w:tcPr>
            <w:tcW w:w="656" w:type="dxa"/>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4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地上消火栓</w:t>
            </w:r>
          </w:p>
        </w:tc>
        <w:tc>
          <w:tcPr>
            <w:tcW w:w="21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SS100/65</w:t>
            </w:r>
          </w:p>
        </w:tc>
        <w:tc>
          <w:tcPr>
            <w:tcW w:w="7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个</w:t>
            </w:r>
          </w:p>
        </w:tc>
        <w:tc>
          <w:tcPr>
            <w:tcW w:w="70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8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101生产车间</w:t>
            </w:r>
            <w:r>
              <w:rPr>
                <w:rFonts w:hint="default" w:ascii="Times New Roman" w:hAnsi="Times New Roman" w:cs="Times New Roman"/>
                <w:sz w:val="21"/>
                <w:szCs w:val="21"/>
              </w:rPr>
              <w:t>东侧</w:t>
            </w:r>
          </w:p>
        </w:tc>
        <w:tc>
          <w:tcPr>
            <w:tcW w:w="656" w:type="dxa"/>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154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地上消火栓</w:t>
            </w:r>
          </w:p>
        </w:tc>
        <w:tc>
          <w:tcPr>
            <w:tcW w:w="21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SS100/65</w:t>
            </w:r>
          </w:p>
        </w:tc>
        <w:tc>
          <w:tcPr>
            <w:tcW w:w="7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个</w:t>
            </w:r>
          </w:p>
        </w:tc>
        <w:tc>
          <w:tcPr>
            <w:tcW w:w="70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8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102生产车间</w:t>
            </w:r>
            <w:r>
              <w:rPr>
                <w:rFonts w:hint="default" w:ascii="Times New Roman" w:hAnsi="Times New Roman" w:cs="Times New Roman"/>
                <w:sz w:val="21"/>
                <w:szCs w:val="21"/>
              </w:rPr>
              <w:t>西侧</w:t>
            </w:r>
          </w:p>
        </w:tc>
        <w:tc>
          <w:tcPr>
            <w:tcW w:w="656" w:type="dxa"/>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54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地上消火栓</w:t>
            </w:r>
          </w:p>
        </w:tc>
        <w:tc>
          <w:tcPr>
            <w:tcW w:w="21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SS100/65</w:t>
            </w:r>
          </w:p>
        </w:tc>
        <w:tc>
          <w:tcPr>
            <w:tcW w:w="7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个</w:t>
            </w:r>
          </w:p>
        </w:tc>
        <w:tc>
          <w:tcPr>
            <w:tcW w:w="70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8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办公楼前东草坪</w:t>
            </w:r>
          </w:p>
        </w:tc>
        <w:tc>
          <w:tcPr>
            <w:tcW w:w="656" w:type="dxa"/>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154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室内消火栓</w:t>
            </w:r>
          </w:p>
        </w:tc>
        <w:tc>
          <w:tcPr>
            <w:tcW w:w="21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DN65</w:t>
            </w:r>
          </w:p>
        </w:tc>
        <w:tc>
          <w:tcPr>
            <w:tcW w:w="7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个</w:t>
            </w:r>
          </w:p>
        </w:tc>
        <w:tc>
          <w:tcPr>
            <w:tcW w:w="70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78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氟化盐车间一层</w:t>
            </w:r>
          </w:p>
        </w:tc>
        <w:tc>
          <w:tcPr>
            <w:tcW w:w="656" w:type="dxa"/>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154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室内消火栓</w:t>
            </w:r>
          </w:p>
        </w:tc>
        <w:tc>
          <w:tcPr>
            <w:tcW w:w="21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DN65</w:t>
            </w:r>
          </w:p>
        </w:tc>
        <w:tc>
          <w:tcPr>
            <w:tcW w:w="7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个</w:t>
            </w:r>
          </w:p>
        </w:tc>
        <w:tc>
          <w:tcPr>
            <w:tcW w:w="70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78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氟化盐车间二层</w:t>
            </w:r>
          </w:p>
        </w:tc>
        <w:tc>
          <w:tcPr>
            <w:tcW w:w="656" w:type="dxa"/>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154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室内消火栓</w:t>
            </w:r>
          </w:p>
        </w:tc>
        <w:tc>
          <w:tcPr>
            <w:tcW w:w="21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DN65</w:t>
            </w:r>
          </w:p>
        </w:tc>
        <w:tc>
          <w:tcPr>
            <w:tcW w:w="7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个</w:t>
            </w:r>
          </w:p>
        </w:tc>
        <w:tc>
          <w:tcPr>
            <w:tcW w:w="70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8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烘干车间</w:t>
            </w:r>
          </w:p>
        </w:tc>
        <w:tc>
          <w:tcPr>
            <w:tcW w:w="656" w:type="dxa"/>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154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室内消火栓</w:t>
            </w:r>
          </w:p>
        </w:tc>
        <w:tc>
          <w:tcPr>
            <w:tcW w:w="21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DN65</w:t>
            </w:r>
          </w:p>
        </w:tc>
        <w:tc>
          <w:tcPr>
            <w:tcW w:w="7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个</w:t>
            </w:r>
          </w:p>
        </w:tc>
        <w:tc>
          <w:tcPr>
            <w:tcW w:w="70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78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成品仓库</w:t>
            </w:r>
          </w:p>
        </w:tc>
        <w:tc>
          <w:tcPr>
            <w:tcW w:w="656" w:type="dxa"/>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54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室内消火栓</w:t>
            </w:r>
          </w:p>
        </w:tc>
        <w:tc>
          <w:tcPr>
            <w:tcW w:w="21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DN65</w:t>
            </w:r>
          </w:p>
        </w:tc>
        <w:tc>
          <w:tcPr>
            <w:tcW w:w="7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个</w:t>
            </w:r>
          </w:p>
        </w:tc>
        <w:tc>
          <w:tcPr>
            <w:tcW w:w="70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78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原料仓库</w:t>
            </w:r>
          </w:p>
        </w:tc>
        <w:tc>
          <w:tcPr>
            <w:tcW w:w="656" w:type="dxa"/>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154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室内消火栓</w:t>
            </w:r>
          </w:p>
        </w:tc>
        <w:tc>
          <w:tcPr>
            <w:tcW w:w="21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DN65</w:t>
            </w:r>
          </w:p>
        </w:tc>
        <w:tc>
          <w:tcPr>
            <w:tcW w:w="7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个</w:t>
            </w:r>
          </w:p>
        </w:tc>
        <w:tc>
          <w:tcPr>
            <w:tcW w:w="70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8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化验室、实验室</w:t>
            </w:r>
          </w:p>
        </w:tc>
        <w:tc>
          <w:tcPr>
            <w:tcW w:w="656" w:type="dxa"/>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12</w:t>
            </w:r>
          </w:p>
        </w:tc>
        <w:tc>
          <w:tcPr>
            <w:tcW w:w="154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室内消火栓</w:t>
            </w:r>
          </w:p>
        </w:tc>
        <w:tc>
          <w:tcPr>
            <w:tcW w:w="21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DN65</w:t>
            </w:r>
          </w:p>
        </w:tc>
        <w:tc>
          <w:tcPr>
            <w:tcW w:w="7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个</w:t>
            </w:r>
          </w:p>
        </w:tc>
        <w:tc>
          <w:tcPr>
            <w:tcW w:w="70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78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办公大楼</w:t>
            </w:r>
          </w:p>
        </w:tc>
        <w:tc>
          <w:tcPr>
            <w:tcW w:w="656" w:type="dxa"/>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13</w:t>
            </w:r>
          </w:p>
        </w:tc>
        <w:tc>
          <w:tcPr>
            <w:tcW w:w="154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室内消火栓</w:t>
            </w:r>
          </w:p>
        </w:tc>
        <w:tc>
          <w:tcPr>
            <w:tcW w:w="21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DN65</w:t>
            </w:r>
          </w:p>
        </w:tc>
        <w:tc>
          <w:tcPr>
            <w:tcW w:w="7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个</w:t>
            </w:r>
          </w:p>
        </w:tc>
        <w:tc>
          <w:tcPr>
            <w:tcW w:w="70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780"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原料仓库一</w:t>
            </w:r>
          </w:p>
        </w:tc>
        <w:tc>
          <w:tcPr>
            <w:tcW w:w="656" w:type="dxa"/>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14</w:t>
            </w:r>
          </w:p>
        </w:tc>
        <w:tc>
          <w:tcPr>
            <w:tcW w:w="154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消防箱及水带水枪、斧</w:t>
            </w:r>
          </w:p>
        </w:tc>
        <w:tc>
          <w:tcPr>
            <w:tcW w:w="2101" w:type="dxa"/>
            <w:noWrap w:val="0"/>
            <w:vAlign w:val="center"/>
          </w:tcPr>
          <w:p>
            <w:pPr>
              <w:spacing w:line="240" w:lineRule="auto"/>
              <w:jc w:val="center"/>
              <w:rPr>
                <w:rFonts w:hint="default" w:ascii="Times New Roman" w:hAnsi="Times New Roman" w:cs="Times New Roman"/>
                <w:sz w:val="21"/>
                <w:szCs w:val="21"/>
              </w:rPr>
            </w:pPr>
          </w:p>
        </w:tc>
        <w:tc>
          <w:tcPr>
            <w:tcW w:w="7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个</w:t>
            </w:r>
          </w:p>
        </w:tc>
        <w:tc>
          <w:tcPr>
            <w:tcW w:w="70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26</w:t>
            </w:r>
          </w:p>
        </w:tc>
        <w:tc>
          <w:tcPr>
            <w:tcW w:w="278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各地上消防栓和墙式预埋式旁各配置一套</w:t>
            </w:r>
          </w:p>
        </w:tc>
        <w:tc>
          <w:tcPr>
            <w:tcW w:w="656" w:type="dxa"/>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54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干粉灭火器</w:t>
            </w:r>
          </w:p>
        </w:tc>
        <w:tc>
          <w:tcPr>
            <w:tcW w:w="21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MF/ABC8</w:t>
            </w:r>
          </w:p>
        </w:tc>
        <w:tc>
          <w:tcPr>
            <w:tcW w:w="7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个</w:t>
            </w:r>
          </w:p>
        </w:tc>
        <w:tc>
          <w:tcPr>
            <w:tcW w:w="70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28</w:t>
            </w:r>
          </w:p>
        </w:tc>
        <w:tc>
          <w:tcPr>
            <w:tcW w:w="278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各生产车间，仓库办公楼</w:t>
            </w:r>
          </w:p>
        </w:tc>
        <w:tc>
          <w:tcPr>
            <w:tcW w:w="656" w:type="dxa"/>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16</w:t>
            </w:r>
          </w:p>
        </w:tc>
        <w:tc>
          <w:tcPr>
            <w:tcW w:w="154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干粉灭火器</w:t>
            </w:r>
          </w:p>
        </w:tc>
        <w:tc>
          <w:tcPr>
            <w:tcW w:w="21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MF/ABC4</w:t>
            </w:r>
          </w:p>
        </w:tc>
        <w:tc>
          <w:tcPr>
            <w:tcW w:w="7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个</w:t>
            </w:r>
          </w:p>
        </w:tc>
        <w:tc>
          <w:tcPr>
            <w:tcW w:w="70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20</w:t>
            </w:r>
          </w:p>
        </w:tc>
        <w:tc>
          <w:tcPr>
            <w:tcW w:w="278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各生产车间，仓库办公楼</w:t>
            </w:r>
          </w:p>
        </w:tc>
        <w:tc>
          <w:tcPr>
            <w:tcW w:w="656" w:type="dxa"/>
            <w:noWrap w:val="0"/>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17</w:t>
            </w:r>
          </w:p>
        </w:tc>
        <w:tc>
          <w:tcPr>
            <w:tcW w:w="154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柴油发电机组</w:t>
            </w:r>
          </w:p>
        </w:tc>
        <w:tc>
          <w:tcPr>
            <w:tcW w:w="21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75kW</w:t>
            </w:r>
          </w:p>
        </w:tc>
        <w:tc>
          <w:tcPr>
            <w:tcW w:w="701"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台</w:t>
            </w:r>
          </w:p>
        </w:tc>
        <w:tc>
          <w:tcPr>
            <w:tcW w:w="70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8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配电房西侧</w:t>
            </w:r>
          </w:p>
        </w:tc>
        <w:tc>
          <w:tcPr>
            <w:tcW w:w="656" w:type="dxa"/>
            <w:noWrap w:val="0"/>
            <w:vAlign w:val="center"/>
          </w:tcPr>
          <w:p>
            <w:pPr>
              <w:spacing w:line="240" w:lineRule="auto"/>
              <w:jc w:val="center"/>
              <w:rPr>
                <w:rFonts w:hint="default" w:ascii="Times New Roman" w:hAnsi="Times New Roman" w:cs="Times New Roman"/>
                <w:sz w:val="21"/>
                <w:szCs w:val="21"/>
              </w:rPr>
            </w:pPr>
          </w:p>
        </w:tc>
      </w:tr>
    </w:tbl>
    <w:p>
      <w:pPr>
        <w:pStyle w:val="4"/>
        <w:rPr>
          <w:rFonts w:hint="default" w:ascii="Times New Roman" w:hAnsi="Times New Roman" w:cs="Times New Roman"/>
        </w:rPr>
      </w:pPr>
      <w:bookmarkStart w:id="34" w:name="_Toc9666"/>
      <w:r>
        <w:rPr>
          <w:rFonts w:hint="default" w:ascii="Times New Roman" w:hAnsi="Times New Roman" w:cs="Times New Roman"/>
        </w:rPr>
        <w:t>2.</w:t>
      </w:r>
      <w:r>
        <w:rPr>
          <w:rFonts w:hint="default" w:ascii="Times New Roman" w:hAnsi="Times New Roman" w:cs="Times New Roman"/>
          <w:lang w:val="en-US" w:eastAsia="zh-CN"/>
        </w:rPr>
        <w:t>5</w:t>
      </w:r>
      <w:bookmarkEnd w:id="14"/>
      <w:bookmarkEnd w:id="15"/>
      <w:bookmarkEnd w:id="16"/>
      <w:r>
        <w:rPr>
          <w:rFonts w:hint="default" w:ascii="Times New Roman" w:hAnsi="Times New Roman" w:cs="Times New Roman"/>
        </w:rPr>
        <w:t>总图及平面布置</w:t>
      </w:r>
      <w:bookmarkEnd w:id="34"/>
    </w:p>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5</w:t>
      </w:r>
      <w:r>
        <w:rPr>
          <w:rFonts w:hint="default" w:ascii="Times New Roman" w:hAnsi="Times New Roman" w:cs="Times New Roman"/>
        </w:rPr>
        <w:t>.1总平面布置</w:t>
      </w:r>
    </w:p>
    <w:p>
      <w:pPr>
        <w:ind w:firstLine="560" w:firstLineChars="200"/>
        <w:rPr>
          <w:rFonts w:hint="default" w:ascii="Times New Roman" w:hAnsi="Times New Roman" w:cs="Times New Roman"/>
        </w:rPr>
      </w:pPr>
      <w:r>
        <w:rPr>
          <w:rFonts w:hint="default" w:ascii="Times New Roman" w:hAnsi="Times New Roman" w:cs="Times New Roman"/>
        </w:rPr>
        <w:t>1、该公司平面布置</w:t>
      </w:r>
    </w:p>
    <w:p>
      <w:pPr>
        <w:ind w:firstLine="560" w:firstLineChars="200"/>
        <w:rPr>
          <w:rFonts w:hint="default" w:ascii="Times New Roman" w:hAnsi="Times New Roman" w:cs="Times New Roman"/>
        </w:rPr>
      </w:pPr>
      <w:r>
        <w:rPr>
          <w:rFonts w:hint="default" w:ascii="Times New Roman" w:hAnsi="Times New Roman" w:cs="Times New Roman"/>
        </w:rPr>
        <w:t>1、总平面布置</w:t>
      </w:r>
    </w:p>
    <w:p>
      <w:pPr>
        <w:ind w:firstLine="560" w:firstLineChars="200"/>
        <w:rPr>
          <w:rFonts w:hint="default" w:ascii="Times New Roman" w:hAnsi="Times New Roman" w:cs="Times New Roman"/>
        </w:rPr>
      </w:pPr>
      <w:r>
        <w:rPr>
          <w:rFonts w:hint="default" w:ascii="Times New Roman" w:hAnsi="Times New Roman" w:cs="Times New Roman"/>
        </w:rPr>
        <w:t>上饶市广氟医药化工有限公司占地面积20000m</w:t>
      </w:r>
      <w:r>
        <w:rPr>
          <w:rFonts w:hint="default" w:ascii="Times New Roman" w:hAnsi="Times New Roman" w:cs="Times New Roman"/>
          <w:vertAlign w:val="superscript"/>
        </w:rPr>
        <w:t>2</w:t>
      </w:r>
      <w:r>
        <w:rPr>
          <w:rFonts w:hint="default" w:ascii="Times New Roman" w:hAnsi="Times New Roman" w:cs="Times New Roman"/>
        </w:rPr>
        <w:t>，厂区为一南北狭长的矩形，在厂区北面设置人行出入口，其总平面布置按功能分为办公辅助区、生产区、储存区等。</w:t>
      </w:r>
    </w:p>
    <w:p>
      <w:pPr>
        <w:ind w:firstLine="560" w:firstLineChars="200"/>
        <w:rPr>
          <w:rFonts w:hint="default" w:ascii="Times New Roman" w:hAnsi="Times New Roman" w:cs="Times New Roman"/>
        </w:rPr>
      </w:pPr>
      <w:r>
        <w:rPr>
          <w:rFonts w:hint="default" w:ascii="Times New Roman" w:hAnsi="Times New Roman" w:cs="Times New Roman"/>
        </w:rPr>
        <w:t>生产区</w:t>
      </w:r>
      <w:r>
        <w:rPr>
          <w:rFonts w:hint="default" w:ascii="Times New Roman" w:hAnsi="Times New Roman" w:cs="Times New Roman"/>
          <w:sz w:val="28"/>
          <w:szCs w:val="28"/>
        </w:rPr>
        <w:t>集中布置于厂区</w:t>
      </w:r>
      <w:r>
        <w:rPr>
          <w:rFonts w:hint="default" w:ascii="Times New Roman" w:hAnsi="Times New Roman" w:cs="Times New Roman"/>
          <w:sz w:val="28"/>
          <w:szCs w:val="28"/>
          <w:lang w:val="en-US" w:eastAsia="zh-CN"/>
        </w:rPr>
        <w:t>南侧</w:t>
      </w:r>
      <w:r>
        <w:rPr>
          <w:rFonts w:hint="default" w:ascii="Times New Roman" w:hAnsi="Times New Roman" w:cs="Times New Roman"/>
          <w:sz w:val="28"/>
          <w:szCs w:val="28"/>
        </w:rPr>
        <w:t>位置，</w:t>
      </w:r>
      <w:r>
        <w:rPr>
          <w:rFonts w:hint="default" w:ascii="Times New Roman" w:hAnsi="Times New Roman" w:cs="Times New Roman"/>
          <w:lang w:val="en-US" w:eastAsia="zh-CN"/>
        </w:rPr>
        <w:t>由北向南依次布置</w:t>
      </w:r>
      <w:r>
        <w:rPr>
          <w:rFonts w:hint="default" w:ascii="Times New Roman" w:hAnsi="Times New Roman" w:cs="Times New Roman"/>
        </w:rPr>
        <w:t>10</w:t>
      </w:r>
      <w:r>
        <w:rPr>
          <w:rFonts w:hint="default" w:ascii="Times New Roman" w:hAnsi="Times New Roman" w:cs="Times New Roman"/>
          <w:lang w:val="en-US" w:eastAsia="zh-CN"/>
        </w:rPr>
        <w:t>5烘干车间和103生产车间三、104</w:t>
      </w:r>
      <w:r>
        <w:rPr>
          <w:rFonts w:hint="default" w:ascii="Times New Roman" w:hAnsi="Times New Roman" w:cs="Times New Roman"/>
        </w:rPr>
        <w:t>生产车间</w:t>
      </w:r>
      <w:r>
        <w:rPr>
          <w:rFonts w:hint="default" w:ascii="Times New Roman" w:hAnsi="Times New Roman" w:cs="Times New Roman"/>
          <w:lang w:val="en-US" w:eastAsia="zh-CN"/>
        </w:rPr>
        <w:t>四</w:t>
      </w:r>
      <w:r>
        <w:rPr>
          <w:rFonts w:hint="default" w:ascii="Times New Roman" w:hAnsi="Times New Roman" w:cs="Times New Roman"/>
          <w:lang w:eastAsia="zh-CN"/>
        </w:rPr>
        <w:t>、</w:t>
      </w:r>
      <w:r>
        <w:rPr>
          <w:rFonts w:hint="default" w:ascii="Times New Roman" w:hAnsi="Times New Roman" w:cs="Times New Roman"/>
          <w:lang w:val="en-US" w:eastAsia="zh-CN"/>
        </w:rPr>
        <w:t>101生产车间一、</w:t>
      </w:r>
      <w:r>
        <w:rPr>
          <w:rFonts w:hint="default" w:ascii="Times New Roman" w:hAnsi="Times New Roman" w:cs="Times New Roman"/>
        </w:rPr>
        <w:t>102生产车间二。</w:t>
      </w:r>
    </w:p>
    <w:p>
      <w:pPr>
        <w:ind w:firstLine="560" w:firstLineChars="200"/>
        <w:rPr>
          <w:rFonts w:hint="default" w:ascii="Times New Roman" w:hAnsi="Times New Roman" w:cs="Times New Roman"/>
        </w:rPr>
      </w:pPr>
      <w:r>
        <w:rPr>
          <w:rFonts w:hint="default" w:ascii="Times New Roman" w:hAnsi="Times New Roman" w:cs="Times New Roman"/>
        </w:rPr>
        <w:t>储存区</w:t>
      </w:r>
      <w:r>
        <w:rPr>
          <w:rFonts w:hint="default" w:ascii="Times New Roman" w:hAnsi="Times New Roman" w:cs="Times New Roman"/>
          <w:lang w:val="en-US" w:eastAsia="zh-CN"/>
        </w:rPr>
        <w:t>环形</w:t>
      </w:r>
      <w:r>
        <w:rPr>
          <w:rFonts w:hint="default" w:ascii="Times New Roman" w:hAnsi="Times New Roman" w:cs="Times New Roman"/>
          <w:sz w:val="28"/>
          <w:szCs w:val="28"/>
        </w:rPr>
        <w:t>布置于厂区</w:t>
      </w:r>
      <w:r>
        <w:rPr>
          <w:rFonts w:hint="default" w:ascii="Times New Roman" w:hAnsi="Times New Roman" w:cs="Times New Roman"/>
          <w:sz w:val="28"/>
          <w:szCs w:val="28"/>
          <w:lang w:val="en-US" w:eastAsia="zh-CN"/>
        </w:rPr>
        <w:t>北侧</w:t>
      </w:r>
      <w:r>
        <w:rPr>
          <w:rFonts w:hint="default" w:ascii="Times New Roman" w:hAnsi="Times New Roman" w:cs="Times New Roman"/>
          <w:sz w:val="28"/>
          <w:szCs w:val="28"/>
        </w:rPr>
        <w:t>及</w:t>
      </w:r>
      <w:r>
        <w:rPr>
          <w:rFonts w:hint="default" w:ascii="Times New Roman" w:hAnsi="Times New Roman" w:cs="Times New Roman"/>
          <w:sz w:val="28"/>
          <w:szCs w:val="28"/>
          <w:lang w:val="en-US" w:eastAsia="zh-CN"/>
        </w:rPr>
        <w:t>西南侧</w:t>
      </w:r>
      <w:r>
        <w:rPr>
          <w:rFonts w:hint="default" w:ascii="Times New Roman" w:hAnsi="Times New Roman" w:cs="Times New Roman"/>
          <w:sz w:val="28"/>
          <w:szCs w:val="28"/>
        </w:rPr>
        <w:t>，</w:t>
      </w:r>
      <w:r>
        <w:rPr>
          <w:rFonts w:hint="default" w:ascii="Times New Roman" w:hAnsi="Times New Roman" w:cs="Times New Roman"/>
          <w:sz w:val="28"/>
          <w:szCs w:val="28"/>
          <w:lang w:val="en-US" w:eastAsia="zh-CN"/>
        </w:rPr>
        <w:t>北侧主要为205原料仓库二</w:t>
      </w:r>
      <w:r>
        <w:rPr>
          <w:rFonts w:hint="default" w:ascii="Times New Roman" w:hAnsi="Times New Roman" w:cs="Times New Roman"/>
          <w:lang w:eastAsia="zh-CN"/>
        </w:rPr>
        <w:t>（</w:t>
      </w:r>
      <w:r>
        <w:rPr>
          <w:rFonts w:hint="default" w:ascii="Times New Roman" w:hAnsi="Times New Roman" w:cs="Times New Roman"/>
          <w:lang w:val="en-US" w:eastAsia="zh-CN"/>
        </w:rPr>
        <w:t>已停用）</w:t>
      </w:r>
      <w:r>
        <w:rPr>
          <w:rFonts w:hint="default" w:ascii="Times New Roman" w:hAnsi="Times New Roman" w:cs="Times New Roman"/>
          <w:sz w:val="28"/>
          <w:szCs w:val="28"/>
          <w:lang w:val="en-US" w:eastAsia="zh-CN"/>
        </w:rPr>
        <w:t>、206成品仓库二（未建）、308半成品仓库一、203烘干包装库、204成品仓库一、207原料仓库一</w:t>
      </w:r>
      <w:r>
        <w:rPr>
          <w:rFonts w:hint="default" w:ascii="Times New Roman" w:hAnsi="Times New Roman" w:cs="Times New Roman"/>
          <w:lang w:eastAsia="zh-CN"/>
        </w:rPr>
        <w:t>（</w:t>
      </w:r>
      <w:r>
        <w:rPr>
          <w:rFonts w:hint="default" w:ascii="Times New Roman" w:hAnsi="Times New Roman" w:cs="Times New Roman"/>
          <w:lang w:val="en-US" w:eastAsia="zh-CN"/>
        </w:rPr>
        <w:t>已停用）</w:t>
      </w:r>
      <w:r>
        <w:rPr>
          <w:rFonts w:hint="default" w:ascii="Times New Roman" w:hAnsi="Times New Roman" w:cs="Times New Roman"/>
          <w:sz w:val="28"/>
          <w:szCs w:val="28"/>
          <w:lang w:val="en-US" w:eastAsia="zh-CN"/>
        </w:rPr>
        <w:t>；西南侧主要为</w:t>
      </w:r>
      <w:r>
        <w:rPr>
          <w:rFonts w:hint="default" w:ascii="Times New Roman" w:hAnsi="Times New Roman" w:cs="Times New Roman"/>
        </w:rPr>
        <w:t>201原料罐区</w:t>
      </w:r>
      <w:r>
        <w:rPr>
          <w:rFonts w:hint="default" w:ascii="Times New Roman" w:hAnsi="Times New Roman" w:cs="Times New Roman"/>
          <w:lang w:eastAsia="zh-CN"/>
        </w:rPr>
        <w:t>、</w:t>
      </w:r>
      <w:r>
        <w:rPr>
          <w:rFonts w:hint="default" w:ascii="Times New Roman" w:hAnsi="Times New Roman" w:cs="Times New Roman"/>
        </w:rPr>
        <w:t>202成品罐区</w:t>
      </w:r>
      <w:r>
        <w:rPr>
          <w:rFonts w:hint="default" w:ascii="Times New Roman" w:hAnsi="Times New Roman" w:cs="Times New Roman"/>
          <w:lang w:eastAsia="zh-CN"/>
        </w:rPr>
        <w:t>、</w:t>
      </w:r>
      <w:r>
        <w:rPr>
          <w:rFonts w:hint="default" w:ascii="Times New Roman" w:hAnsi="Times New Roman" w:cs="Times New Roman"/>
        </w:rPr>
        <w:t>309</w:t>
      </w:r>
      <w:r>
        <w:rPr>
          <w:rFonts w:hint="default" w:ascii="Times New Roman" w:hAnsi="Times New Roman" w:cs="Times New Roman"/>
          <w:lang w:val="en-US" w:eastAsia="zh-CN"/>
        </w:rPr>
        <w:t>半成品仓库二</w:t>
      </w:r>
      <w:r>
        <w:rPr>
          <w:rFonts w:hint="eastAsia" w:cs="Times New Roman"/>
          <w:lang w:val="en-US" w:eastAsia="zh-CN"/>
        </w:rPr>
        <w:t>（设有PLC控制柜）</w:t>
      </w:r>
      <w:r>
        <w:rPr>
          <w:rFonts w:hint="default" w:ascii="Times New Roman" w:hAnsi="Times New Roman" w:cs="Times New Roman"/>
          <w:lang w:val="en-US" w:eastAsia="zh-CN"/>
        </w:rPr>
        <w:t>、302成品仓库</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rPr>
        <w:t>办公辅助区：301变、配电间、302</w:t>
      </w:r>
      <w:r>
        <w:rPr>
          <w:rFonts w:hint="default" w:ascii="Times New Roman" w:hAnsi="Times New Roman" w:cs="Times New Roman"/>
          <w:lang w:val="en-US" w:eastAsia="zh-CN"/>
        </w:rPr>
        <w:t>成品仓库</w:t>
      </w:r>
      <w:r>
        <w:rPr>
          <w:rFonts w:hint="default" w:ascii="Times New Roman" w:hAnsi="Times New Roman" w:cs="Times New Roman"/>
          <w:lang w:eastAsia="zh-CN"/>
        </w:rPr>
        <w:t>（</w:t>
      </w:r>
      <w:r>
        <w:rPr>
          <w:rFonts w:hint="default" w:ascii="Times New Roman" w:hAnsi="Times New Roman" w:cs="Times New Roman"/>
          <w:lang w:val="en-US" w:eastAsia="zh-CN"/>
        </w:rPr>
        <w:t>已停用）</w:t>
      </w:r>
      <w:r>
        <w:rPr>
          <w:rFonts w:hint="default" w:ascii="Times New Roman" w:hAnsi="Times New Roman" w:cs="Times New Roman"/>
        </w:rPr>
        <w:t>、303煤堆场</w:t>
      </w:r>
      <w:r>
        <w:rPr>
          <w:rFonts w:hint="default" w:ascii="Times New Roman" w:hAnsi="Times New Roman" w:cs="Times New Roman"/>
          <w:lang w:eastAsia="zh-CN"/>
        </w:rPr>
        <w:t>（</w:t>
      </w:r>
      <w:r>
        <w:rPr>
          <w:rFonts w:hint="default" w:ascii="Times New Roman" w:hAnsi="Times New Roman" w:cs="Times New Roman"/>
          <w:lang w:val="en-US" w:eastAsia="zh-CN"/>
        </w:rPr>
        <w:t>已停用）</w:t>
      </w:r>
      <w:r>
        <w:rPr>
          <w:rFonts w:hint="default" w:ascii="Times New Roman" w:hAnsi="Times New Roman" w:cs="Times New Roman"/>
        </w:rPr>
        <w:t>、304循环水池、305循环水泵房、306污水处理池、307机修车间、310事故应急池、311污水处理装置区</w:t>
      </w:r>
      <w:r>
        <w:rPr>
          <w:rFonts w:hint="default" w:ascii="Times New Roman" w:hAnsi="Times New Roman" w:cs="Times New Roman"/>
          <w:lang w:eastAsia="zh-CN"/>
        </w:rPr>
        <w:t>、</w:t>
      </w:r>
      <w:r>
        <w:rPr>
          <w:rFonts w:hint="default" w:ascii="Times New Roman" w:hAnsi="Times New Roman" w:cs="Times New Roman"/>
        </w:rPr>
        <w:t>402生产研发楼、403门卫、404门卫</w:t>
      </w:r>
      <w:r>
        <w:rPr>
          <w:rFonts w:hint="default" w:ascii="Times New Roman" w:hAnsi="Times New Roman" w:cs="Times New Roman"/>
          <w:lang w:eastAsia="zh-CN"/>
        </w:rPr>
        <w:t>、</w:t>
      </w:r>
      <w:r>
        <w:rPr>
          <w:rFonts w:hint="default" w:ascii="Times New Roman" w:hAnsi="Times New Roman" w:cs="Times New Roman"/>
          <w:lang w:val="en-US" w:eastAsia="zh-CN"/>
        </w:rPr>
        <w:t>405分析室</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rPr>
        <w:t>总平面布置时，将工艺联系密切、火灾危险性类别相近的建构筑物、装置设在同一功能分区内，各功能分区之间用道路分隔开来，又均与厂区内道路相通。整个布置合理利用厂区内场地，按功能分区、集中紧凑、节约用地，满足生产工艺上简洁流畅的要求，便于生产运行管理。</w:t>
      </w:r>
    </w:p>
    <w:p>
      <w:pPr>
        <w:ind w:firstLine="560" w:firstLineChars="200"/>
        <w:rPr>
          <w:rFonts w:hint="default" w:ascii="Times New Roman" w:hAnsi="Times New Roman" w:cs="Times New Roman"/>
        </w:rPr>
      </w:pPr>
      <w:r>
        <w:rPr>
          <w:rFonts w:hint="default" w:ascii="Times New Roman" w:hAnsi="Times New Roman" w:cs="Times New Roman"/>
        </w:rPr>
        <w:t>各功能区之间的布置均按照工艺流程需要进行设计，各建、构筑物之间间距见表2.</w:t>
      </w:r>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w:t>
      </w:r>
    </w:p>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5</w:t>
      </w:r>
      <w:r>
        <w:rPr>
          <w:rFonts w:hint="default" w:ascii="Times New Roman" w:hAnsi="Times New Roman" w:cs="Times New Roman"/>
        </w:rPr>
        <w:t>.2道路及运输</w:t>
      </w:r>
    </w:p>
    <w:p>
      <w:pPr>
        <w:numPr>
          <w:ilvl w:val="0"/>
          <w:numId w:val="12"/>
        </w:numPr>
        <w:ind w:firstLine="560" w:firstLineChars="200"/>
        <w:rPr>
          <w:rFonts w:hint="default" w:ascii="Times New Roman" w:hAnsi="Times New Roman" w:cs="Times New Roman"/>
        </w:rPr>
      </w:pPr>
      <w:r>
        <w:rPr>
          <w:rFonts w:hint="default" w:ascii="Times New Roman" w:hAnsi="Times New Roman" w:cs="Times New Roman"/>
        </w:rPr>
        <w:t>道路、交通运输组织</w:t>
      </w:r>
    </w:p>
    <w:p>
      <w:pPr>
        <w:ind w:firstLine="560" w:firstLineChars="200"/>
        <w:rPr>
          <w:rFonts w:hint="default" w:ascii="Times New Roman" w:hAnsi="Times New Roman" w:cs="Times New Roman"/>
        </w:rPr>
      </w:pPr>
      <w:r>
        <w:rPr>
          <w:rFonts w:hint="default" w:ascii="Times New Roman" w:hAnsi="Times New Roman" w:cs="Times New Roman"/>
        </w:rPr>
        <w:t>该公司在北侧设有1个主要出入口，在</w:t>
      </w:r>
      <w:r>
        <w:rPr>
          <w:rFonts w:hint="default" w:ascii="Times New Roman" w:hAnsi="Times New Roman" w:cs="Times New Roman"/>
          <w:lang w:val="en-US" w:eastAsia="zh-CN"/>
        </w:rPr>
        <w:t>南</w:t>
      </w:r>
      <w:r>
        <w:rPr>
          <w:rFonts w:hint="default" w:ascii="Times New Roman" w:hAnsi="Times New Roman" w:cs="Times New Roman"/>
        </w:rPr>
        <w:t>侧设有</w:t>
      </w:r>
      <w:r>
        <w:rPr>
          <w:rFonts w:hint="default" w:ascii="Times New Roman" w:hAnsi="Times New Roman" w:cs="Times New Roman"/>
          <w:lang w:val="en-US" w:eastAsia="zh-CN"/>
        </w:rPr>
        <w:t>1</w:t>
      </w:r>
      <w:r>
        <w:rPr>
          <w:rFonts w:hint="default" w:ascii="Times New Roman" w:hAnsi="Times New Roman" w:cs="Times New Roman"/>
        </w:rPr>
        <w:t>个</w:t>
      </w:r>
      <w:r>
        <w:rPr>
          <w:rFonts w:hint="default" w:ascii="Times New Roman" w:hAnsi="Times New Roman" w:cs="Times New Roman"/>
          <w:lang w:val="en-US" w:eastAsia="zh-CN"/>
        </w:rPr>
        <w:t>逃生</w:t>
      </w:r>
      <w:r>
        <w:rPr>
          <w:rFonts w:hint="default" w:ascii="Times New Roman" w:hAnsi="Times New Roman" w:cs="Times New Roman"/>
        </w:rPr>
        <w:t>出入口。该公司厂内道路采用城市郊区型，道路系统的布置除满足生产及人行要求外，还满足消防规范的要求。生产装置区道路成环形布置，并与厂外道路相连。厂内主要道路宽度不小于</w:t>
      </w:r>
      <w:r>
        <w:rPr>
          <w:rFonts w:hint="default" w:ascii="Times New Roman" w:hAnsi="Times New Roman" w:cs="Times New Roman"/>
          <w:lang w:val="en-US" w:eastAsia="zh-CN"/>
        </w:rPr>
        <w:t>6</w:t>
      </w:r>
      <w:r>
        <w:rPr>
          <w:rFonts w:hint="default" w:ascii="Times New Roman" w:hAnsi="Times New Roman" w:cs="Times New Roman"/>
        </w:rPr>
        <w:t>m，其他道路及环行消防通道宽度不小于</w:t>
      </w:r>
      <w:r>
        <w:rPr>
          <w:rFonts w:hint="default" w:ascii="Times New Roman" w:hAnsi="Times New Roman" w:cs="Times New Roman"/>
          <w:lang w:val="en-US" w:eastAsia="zh-CN"/>
        </w:rPr>
        <w:t>4</w:t>
      </w:r>
      <w:r>
        <w:rPr>
          <w:rFonts w:hint="default" w:ascii="Times New Roman" w:hAnsi="Times New Roman" w:cs="Times New Roman"/>
        </w:rPr>
        <w:t>m。路面为砼路面，能满足消防车辆错车、转弯等要求。</w:t>
      </w:r>
    </w:p>
    <w:p>
      <w:pPr>
        <w:numPr>
          <w:ilvl w:val="0"/>
          <w:numId w:val="12"/>
        </w:numPr>
        <w:ind w:firstLine="560" w:firstLineChars="200"/>
        <w:rPr>
          <w:rFonts w:hint="default" w:ascii="Times New Roman" w:hAnsi="Times New Roman" w:cs="Times New Roman"/>
        </w:rPr>
      </w:pPr>
      <w:r>
        <w:rPr>
          <w:rFonts w:hint="default" w:ascii="Times New Roman" w:hAnsi="Times New Roman" w:cs="Times New Roman"/>
        </w:rPr>
        <w:t>路面结构</w:t>
      </w:r>
    </w:p>
    <w:p>
      <w:pPr>
        <w:ind w:firstLine="560" w:firstLineChars="200"/>
        <w:rPr>
          <w:rFonts w:hint="default" w:ascii="Times New Roman" w:hAnsi="Times New Roman" w:cs="Times New Roman"/>
        </w:rPr>
      </w:pPr>
      <w:r>
        <w:rPr>
          <w:rFonts w:hint="default" w:ascii="Times New Roman" w:hAnsi="Times New Roman" w:cs="Times New Roman"/>
        </w:rPr>
        <w:t>厂区道路、硬地的具体做法如下：依次素土夯实（压实度大于97%），水泥稳定层30cm、C30混凝土25cm，铺砌场地设计荷载汽-30级。</w:t>
      </w:r>
    </w:p>
    <w:p>
      <w:pPr>
        <w:ind w:firstLine="560" w:firstLineChars="200"/>
        <w:rPr>
          <w:rFonts w:hint="default" w:ascii="Times New Roman" w:hAnsi="Times New Roman" w:cs="Times New Roman"/>
        </w:rPr>
      </w:pPr>
      <w:r>
        <w:rPr>
          <w:rFonts w:hint="default" w:ascii="Times New Roman" w:hAnsi="Times New Roman" w:cs="Times New Roman"/>
        </w:rPr>
        <w:t>3、厂外运输：根据货物性质及年运输量，结合当地运输条件，原料和产品均采用公路汽车运输。其中危险化学品运输委托具有危险品运输资质的单位承运。</w:t>
      </w:r>
    </w:p>
    <w:p>
      <w:pPr>
        <w:ind w:firstLine="560" w:firstLineChars="200"/>
        <w:rPr>
          <w:rFonts w:hint="default" w:ascii="Times New Roman" w:hAnsi="Times New Roman" w:cs="Times New Roman"/>
        </w:rPr>
      </w:pPr>
      <w:r>
        <w:rPr>
          <w:rFonts w:hint="default" w:ascii="Times New Roman" w:hAnsi="Times New Roman" w:cs="Times New Roman"/>
        </w:rPr>
        <w:t>4、厂区内物料运输</w:t>
      </w:r>
    </w:p>
    <w:p>
      <w:pPr>
        <w:ind w:firstLine="560" w:firstLineChars="200"/>
        <w:rPr>
          <w:rFonts w:hint="default" w:ascii="Times New Roman" w:hAnsi="Times New Roman" w:cs="Times New Roman"/>
        </w:rPr>
      </w:pPr>
      <w:r>
        <w:rPr>
          <w:rFonts w:hint="default" w:ascii="Times New Roman" w:hAnsi="Times New Roman" w:cs="Times New Roman"/>
        </w:rPr>
        <w:t>厂内物料主要采用人工、液压手推车、叉车运输。</w:t>
      </w:r>
    </w:p>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5</w:t>
      </w:r>
      <w:r>
        <w:rPr>
          <w:rFonts w:hint="default" w:ascii="Times New Roman" w:hAnsi="Times New Roman" w:cs="Times New Roman"/>
        </w:rPr>
        <w:t>.3</w:t>
      </w:r>
      <w:r>
        <w:rPr>
          <w:rFonts w:hint="default" w:ascii="Times New Roman" w:hAnsi="Times New Roman" w:cs="Times New Roman"/>
          <w:b/>
          <w:bCs/>
        </w:rPr>
        <w:t>企业主要建构筑物</w:t>
      </w:r>
    </w:p>
    <w:p>
      <w:pPr>
        <w:ind w:firstLine="56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上饶市广氟医药化工有限公司</w:t>
      </w:r>
      <w:r>
        <w:rPr>
          <w:rFonts w:hint="default" w:ascii="Times New Roman" w:hAnsi="Times New Roman" w:eastAsia="宋体" w:cs="Times New Roman"/>
        </w:rPr>
        <w:t>的建构筑物见表2.5-1</w:t>
      </w:r>
      <w:r>
        <w:rPr>
          <w:rFonts w:hint="default" w:ascii="Times New Roman" w:hAnsi="Times New Roman" w:eastAsia="宋体" w:cs="Times New Roman"/>
          <w:lang w:eastAsia="zh-CN"/>
        </w:rPr>
        <w:t>。</w:t>
      </w:r>
    </w:p>
    <w:p>
      <w:pPr>
        <w:jc w:val="center"/>
        <w:rPr>
          <w:rFonts w:hint="default" w:ascii="Times New Roman" w:hAnsi="Times New Roman" w:cs="Times New Roman"/>
        </w:rPr>
      </w:pPr>
      <w:r>
        <w:rPr>
          <w:rFonts w:hint="default" w:ascii="Times New Roman" w:hAnsi="Times New Roman" w:eastAsia="宋体" w:cs="Times New Roman"/>
        </w:rPr>
        <w:t>表2.5-1  主要建（构）筑物一览表</w:t>
      </w:r>
    </w:p>
    <w:tbl>
      <w:tblPr>
        <w:tblStyle w:val="2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653"/>
        <w:gridCol w:w="701"/>
        <w:gridCol w:w="709"/>
        <w:gridCol w:w="772"/>
        <w:gridCol w:w="718"/>
        <w:gridCol w:w="1210"/>
        <w:gridCol w:w="1200"/>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序号</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项目名称</w:t>
            </w:r>
          </w:p>
        </w:tc>
        <w:tc>
          <w:tcPr>
            <w:tcW w:w="701" w:type="dxa"/>
            <w:noWrap w:val="0"/>
            <w:vAlign w:val="center"/>
          </w:tcPr>
          <w:p>
            <w:pPr>
              <w:tabs>
                <w:tab w:val="left" w:pos="900"/>
              </w:tabs>
              <w:snapToGrid w:val="0"/>
              <w:spacing w:line="240" w:lineRule="auto"/>
              <w:jc w:val="center"/>
              <w:rPr>
                <w:rFonts w:hint="default" w:ascii="Times New Roman" w:hAnsi="Times New Roman" w:eastAsia="宋体" w:cs="Times New Roman"/>
                <w:bCs/>
                <w:sz w:val="21"/>
                <w:szCs w:val="21"/>
                <w:lang w:val="en-GB" w:eastAsia="zh-CN"/>
              </w:rPr>
            </w:pPr>
            <w:r>
              <w:rPr>
                <w:rFonts w:hint="default" w:ascii="Times New Roman" w:hAnsi="Times New Roman" w:cs="Times New Roman"/>
                <w:bCs/>
                <w:sz w:val="21"/>
                <w:szCs w:val="21"/>
                <w:lang w:val="en-US" w:eastAsia="zh-CN"/>
              </w:rPr>
              <w:t>火灾</w:t>
            </w:r>
          </w:p>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类别</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耐火</w:t>
            </w:r>
          </w:p>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等级</w:t>
            </w: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建筑</w:t>
            </w:r>
          </w:p>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层数</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结构</w:t>
            </w:r>
          </w:p>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形式</w:t>
            </w:r>
          </w:p>
        </w:tc>
        <w:tc>
          <w:tcPr>
            <w:tcW w:w="1210"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建筑面积（</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r>
              <w:rPr>
                <w:rFonts w:hint="default" w:ascii="Times New Roman" w:hAnsi="Times New Roman" w:cs="Times New Roman"/>
                <w:bCs/>
                <w:sz w:val="21"/>
                <w:szCs w:val="21"/>
                <w:lang w:val="en-GB"/>
              </w:rPr>
              <w:t>）</w:t>
            </w:r>
          </w:p>
        </w:tc>
        <w:tc>
          <w:tcPr>
            <w:tcW w:w="1200"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占地面积（</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r>
              <w:rPr>
                <w:rFonts w:hint="default" w:ascii="Times New Roman" w:hAnsi="Times New Roman" w:cs="Times New Roman"/>
                <w:bCs/>
                <w:sz w:val="21"/>
                <w:szCs w:val="21"/>
                <w:lang w:val="en-GB"/>
              </w:rPr>
              <w:t>）</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101生产车间一</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丁类</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3</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钢架</w:t>
            </w: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2400</w:t>
            </w: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800</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高12m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2</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102生产车间二</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丁类</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3</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钢架</w:t>
            </w: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2658</w:t>
            </w: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886</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高12m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3</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103生产车间三</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丁类</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钢架</w:t>
            </w: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576</w:t>
            </w: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576</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高6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4</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104生产车间四</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丁类</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钢架</w:t>
            </w: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846</w:t>
            </w: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846</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高4m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5</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105生产车间五</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丁类</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钢架</w:t>
            </w: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576</w:t>
            </w: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576</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高4m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6</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201原料罐区</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戊类</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rPr>
              <w:t>钢筋砼</w:t>
            </w: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537</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7</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202成品罐区</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戊类</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rPr>
              <w:t>钢筋砼</w:t>
            </w: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p>
        </w:tc>
        <w:tc>
          <w:tcPr>
            <w:tcW w:w="1200"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1</w:t>
            </w:r>
            <w:r>
              <w:rPr>
                <w:rFonts w:hint="default" w:ascii="Times New Roman" w:hAnsi="Times New Roman" w:cs="Times New Roman"/>
                <w:bCs/>
                <w:sz w:val="21"/>
                <w:szCs w:val="21"/>
                <w:lang w:val="en-US" w:eastAsia="zh-CN"/>
              </w:rPr>
              <w:t>32</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8</w:t>
            </w:r>
          </w:p>
        </w:tc>
        <w:tc>
          <w:tcPr>
            <w:tcW w:w="1653"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203</w:t>
            </w:r>
            <w:r>
              <w:rPr>
                <w:rFonts w:hint="default" w:ascii="Times New Roman" w:hAnsi="Times New Roman" w:cs="Times New Roman"/>
                <w:bCs/>
                <w:sz w:val="21"/>
                <w:szCs w:val="21"/>
                <w:lang w:val="en-US" w:eastAsia="zh-CN"/>
              </w:rPr>
              <w:t>烘干包装库</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丁类</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en-GB"/>
              </w:rPr>
              <w:t>钢架</w:t>
            </w:r>
          </w:p>
        </w:tc>
        <w:tc>
          <w:tcPr>
            <w:tcW w:w="1210"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674</w:t>
            </w: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674</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高4m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9</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204成品仓库一</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丁类</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钢架</w:t>
            </w: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684</w:t>
            </w: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684</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高4m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10</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205原料仓库二</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丁类</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en-GB"/>
              </w:rPr>
              <w:t>钢架</w:t>
            </w:r>
          </w:p>
        </w:tc>
        <w:tc>
          <w:tcPr>
            <w:tcW w:w="1210"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350</w:t>
            </w:r>
          </w:p>
        </w:tc>
        <w:tc>
          <w:tcPr>
            <w:tcW w:w="1200"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350</w:t>
            </w:r>
          </w:p>
        </w:tc>
        <w:tc>
          <w:tcPr>
            <w:tcW w:w="1671" w:type="dxa"/>
            <w:noWrap w:val="0"/>
            <w:vAlign w:val="center"/>
          </w:tcPr>
          <w:p>
            <w:pPr>
              <w:tabs>
                <w:tab w:val="left" w:pos="900"/>
              </w:tabs>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GB"/>
              </w:rPr>
              <w:t>高4m</w:t>
            </w:r>
            <w:r>
              <w:rPr>
                <w:rFonts w:hint="default" w:ascii="Times New Roman" w:hAnsi="Times New Roman" w:cs="Times New Roman"/>
                <w:bCs/>
                <w:sz w:val="21"/>
                <w:szCs w:val="21"/>
                <w:lang w:val="en-GB" w:eastAsia="zh-CN"/>
              </w:rPr>
              <w:t>，</w:t>
            </w:r>
            <w:r>
              <w:rPr>
                <w:rFonts w:hint="default" w:ascii="Times New Roman" w:hAnsi="Times New Roman" w:cs="Times New Roman"/>
                <w:bCs/>
                <w:sz w:val="21"/>
                <w:szCs w:val="21"/>
                <w:lang w:val="en-US" w:eastAsia="zh-CN"/>
              </w:rPr>
              <w:t>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11</w:t>
            </w:r>
          </w:p>
        </w:tc>
        <w:tc>
          <w:tcPr>
            <w:tcW w:w="1653"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207</w:t>
            </w:r>
            <w:r>
              <w:rPr>
                <w:rFonts w:hint="default" w:ascii="Times New Roman" w:hAnsi="Times New Roman" w:cs="Times New Roman"/>
                <w:bCs/>
                <w:sz w:val="21"/>
                <w:szCs w:val="21"/>
                <w:lang w:val="en-US" w:eastAsia="zh-CN"/>
              </w:rPr>
              <w:t>原料仓库一</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丁类</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en-GB"/>
              </w:rPr>
              <w:t>钢架</w:t>
            </w:r>
          </w:p>
        </w:tc>
        <w:tc>
          <w:tcPr>
            <w:tcW w:w="1210"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1</w:t>
            </w:r>
            <w:r>
              <w:rPr>
                <w:rFonts w:hint="default" w:ascii="Times New Roman" w:hAnsi="Times New Roman" w:cs="Times New Roman"/>
                <w:bCs/>
                <w:sz w:val="21"/>
                <w:szCs w:val="21"/>
                <w:lang w:val="en-US" w:eastAsia="zh-CN"/>
              </w:rPr>
              <w:t>80</w:t>
            </w:r>
          </w:p>
        </w:tc>
        <w:tc>
          <w:tcPr>
            <w:tcW w:w="1200"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1</w:t>
            </w:r>
            <w:r>
              <w:rPr>
                <w:rFonts w:hint="default" w:ascii="Times New Roman" w:hAnsi="Times New Roman" w:cs="Times New Roman"/>
                <w:bCs/>
                <w:sz w:val="21"/>
                <w:szCs w:val="21"/>
                <w:lang w:val="en-US" w:eastAsia="zh-CN"/>
              </w:rPr>
              <w:t>80</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高4m</w:t>
            </w:r>
            <w:r>
              <w:rPr>
                <w:rFonts w:hint="default" w:ascii="Times New Roman" w:hAnsi="Times New Roman" w:cs="Times New Roman"/>
                <w:bCs/>
                <w:sz w:val="21"/>
                <w:szCs w:val="21"/>
                <w:lang w:val="en-GB" w:eastAsia="zh-CN"/>
              </w:rPr>
              <w:t>，</w:t>
            </w:r>
            <w:r>
              <w:rPr>
                <w:rFonts w:hint="default" w:ascii="Times New Roman" w:hAnsi="Times New Roman" w:cs="Times New Roman"/>
                <w:bCs/>
                <w:sz w:val="21"/>
                <w:szCs w:val="21"/>
                <w:lang w:val="en-US" w:eastAsia="zh-CN"/>
              </w:rPr>
              <w:t>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12</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301变配电间</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丙类</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en-GB"/>
              </w:rPr>
              <w:t>砖混</w:t>
            </w: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40</w:t>
            </w: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40</w:t>
            </w:r>
          </w:p>
        </w:tc>
        <w:tc>
          <w:tcPr>
            <w:tcW w:w="1671" w:type="dxa"/>
            <w:noWrap w:val="0"/>
            <w:vAlign w:val="center"/>
          </w:tcPr>
          <w:p>
            <w:pPr>
              <w:tabs>
                <w:tab w:val="left" w:pos="900"/>
              </w:tabs>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GB"/>
              </w:rPr>
              <w:t>高4m</w:t>
            </w:r>
            <w:r>
              <w:rPr>
                <w:rFonts w:hint="default" w:ascii="Times New Roman" w:hAnsi="Times New Roman" w:cs="Times New Roman"/>
                <w:bCs/>
                <w:sz w:val="21"/>
                <w:szCs w:val="21"/>
                <w:lang w:val="en-GB" w:eastAsia="zh-CN"/>
              </w:rPr>
              <w:t>，</w:t>
            </w:r>
            <w:r>
              <w:rPr>
                <w:rFonts w:hint="default" w:ascii="Times New Roman" w:hAnsi="Times New Roman" w:cs="Times New Roman"/>
                <w:bCs/>
                <w:sz w:val="21"/>
                <w:szCs w:val="21"/>
                <w:lang w:val="en-US" w:eastAsia="zh-CN"/>
              </w:rPr>
              <w:t>与105烘干车间之间设有防火墙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13</w:t>
            </w:r>
          </w:p>
        </w:tc>
        <w:tc>
          <w:tcPr>
            <w:tcW w:w="1653"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302</w:t>
            </w:r>
            <w:r>
              <w:rPr>
                <w:rFonts w:hint="default" w:ascii="Times New Roman" w:hAnsi="Times New Roman" w:cs="Times New Roman"/>
                <w:bCs/>
                <w:sz w:val="21"/>
                <w:szCs w:val="21"/>
                <w:lang w:val="en-US" w:eastAsia="zh-CN"/>
              </w:rPr>
              <w:t>成品仓库</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丁类</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en-GB"/>
              </w:rPr>
              <w:t>钢架</w:t>
            </w:r>
          </w:p>
        </w:tc>
        <w:tc>
          <w:tcPr>
            <w:tcW w:w="1210"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390</w:t>
            </w:r>
          </w:p>
        </w:tc>
        <w:tc>
          <w:tcPr>
            <w:tcW w:w="1200"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390</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高4m</w:t>
            </w:r>
            <w:r>
              <w:rPr>
                <w:rFonts w:hint="default" w:ascii="Times New Roman" w:hAnsi="Times New Roman" w:cs="Times New Roman"/>
                <w:bCs/>
                <w:sz w:val="21"/>
                <w:szCs w:val="21"/>
                <w:lang w:val="en-GB" w:eastAsia="zh-CN"/>
              </w:rPr>
              <w:t>，</w:t>
            </w:r>
            <w:r>
              <w:rPr>
                <w:rFonts w:hint="default" w:ascii="Times New Roman" w:hAnsi="Times New Roman" w:cs="Times New Roman"/>
                <w:bCs/>
                <w:sz w:val="21"/>
                <w:szCs w:val="21"/>
                <w:lang w:val="en-US" w:eastAsia="zh-CN"/>
              </w:rPr>
              <w:t>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14</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303煤堆场</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丙类</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84</w:t>
            </w: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84</w:t>
            </w:r>
          </w:p>
        </w:tc>
        <w:tc>
          <w:tcPr>
            <w:tcW w:w="1671" w:type="dxa"/>
            <w:noWrap w:val="0"/>
            <w:vAlign w:val="center"/>
          </w:tcPr>
          <w:p>
            <w:pPr>
              <w:tabs>
                <w:tab w:val="left" w:pos="900"/>
              </w:tabs>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15</w:t>
            </w:r>
          </w:p>
        </w:tc>
        <w:tc>
          <w:tcPr>
            <w:tcW w:w="1653"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304循环水池</w:t>
            </w:r>
          </w:p>
        </w:tc>
        <w:tc>
          <w:tcPr>
            <w:tcW w:w="701" w:type="dxa"/>
            <w:noWrap w:val="0"/>
            <w:vAlign w:val="center"/>
          </w:tcPr>
          <w:p>
            <w:pPr>
              <w:tabs>
                <w:tab w:val="left" w:pos="900"/>
              </w:tabs>
              <w:snapToGrid w:val="0"/>
              <w:spacing w:line="240" w:lineRule="auto"/>
              <w:jc w:val="center"/>
              <w:rPr>
                <w:rFonts w:hint="default" w:ascii="Times New Roman" w:hAnsi="Times New Roman" w:eastAsia="宋体" w:cs="Times New Roman"/>
                <w:bCs/>
                <w:sz w:val="21"/>
                <w:szCs w:val="21"/>
                <w:lang w:val="en-US" w:eastAsia="zh-CN"/>
              </w:rPr>
            </w:pP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718" w:type="dxa"/>
            <w:noWrap w:val="0"/>
            <w:vAlign w:val="center"/>
          </w:tcPr>
          <w:p>
            <w:pPr>
              <w:tabs>
                <w:tab w:val="left" w:pos="900"/>
              </w:tabs>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砼</w:t>
            </w:r>
          </w:p>
        </w:tc>
        <w:tc>
          <w:tcPr>
            <w:tcW w:w="1210"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312</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16</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305循环水泵房</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22</w:t>
            </w: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22</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高4m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17</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306污水处理池</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rPr>
              <w:t>钢筋砼</w:t>
            </w: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128</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深2.5m，容积320m</w:t>
            </w:r>
            <w:r>
              <w:rPr>
                <w:rFonts w:hint="default" w:ascii="Times New Roman" w:hAnsi="Times New Roman" w:cs="Times New Roman"/>
                <w:bCs/>
                <w:sz w:val="21"/>
                <w:szCs w:val="21"/>
                <w:vertAlign w:val="superscript"/>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rPr>
              <w:t>18</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307机修车间</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丁类</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砖混</w:t>
            </w: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144</w:t>
            </w: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144</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高4m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w:t>
            </w:r>
            <w:r>
              <w:rPr>
                <w:rFonts w:hint="default" w:ascii="Times New Roman" w:hAnsi="Times New Roman" w:cs="Times New Roman"/>
                <w:bCs/>
                <w:sz w:val="21"/>
                <w:szCs w:val="21"/>
              </w:rPr>
              <w:t>9</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308半成品仓库</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丁类</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砖混</w:t>
            </w:r>
          </w:p>
        </w:tc>
        <w:tc>
          <w:tcPr>
            <w:tcW w:w="1210"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328</w:t>
            </w:r>
          </w:p>
        </w:tc>
        <w:tc>
          <w:tcPr>
            <w:tcW w:w="1200"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328</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高4m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rPr>
              <w:t>20</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309包装材料仓库</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丙类</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砖混</w:t>
            </w: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64</w:t>
            </w: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64</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高4m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en-GB"/>
              </w:rPr>
              <w:t>2</w:t>
            </w:r>
            <w:r>
              <w:rPr>
                <w:rFonts w:hint="default" w:ascii="Times New Roman" w:hAnsi="Times New Roman" w:cs="Times New Roman"/>
                <w:bCs/>
                <w:sz w:val="21"/>
                <w:szCs w:val="21"/>
              </w:rPr>
              <w:t>1</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310事故应急池</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rPr>
              <w:t>砼</w:t>
            </w: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120</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深4m，容积480m</w:t>
            </w:r>
            <w:r>
              <w:rPr>
                <w:rFonts w:hint="default" w:ascii="Times New Roman" w:hAnsi="Times New Roman" w:cs="Times New Roman"/>
                <w:bCs/>
                <w:sz w:val="21"/>
                <w:szCs w:val="21"/>
                <w:vertAlign w:val="superscript"/>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2</w:t>
            </w:r>
            <w:r>
              <w:rPr>
                <w:rFonts w:hint="default" w:ascii="Times New Roman" w:hAnsi="Times New Roman" w:cs="Times New Roman"/>
                <w:bCs/>
                <w:sz w:val="21"/>
                <w:szCs w:val="21"/>
              </w:rPr>
              <w:t>2</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311污水处理装置区</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rPr>
              <w:t>砼</w:t>
            </w: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1037</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en-GB"/>
              </w:rPr>
              <w:t>2</w:t>
            </w:r>
            <w:r>
              <w:rPr>
                <w:rFonts w:hint="default" w:ascii="Times New Roman" w:hAnsi="Times New Roman" w:cs="Times New Roman"/>
                <w:bCs/>
                <w:sz w:val="21"/>
                <w:szCs w:val="21"/>
              </w:rPr>
              <w:t>3</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402办公楼</w:t>
            </w:r>
          </w:p>
        </w:tc>
        <w:tc>
          <w:tcPr>
            <w:tcW w:w="701" w:type="dxa"/>
            <w:noWrap w:val="0"/>
            <w:vAlign w:val="center"/>
          </w:tcPr>
          <w:p>
            <w:pPr>
              <w:tabs>
                <w:tab w:val="left" w:pos="900"/>
              </w:tabs>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民</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3</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砖混</w:t>
            </w: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3456</w:t>
            </w: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1152</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rPr>
              <w:t>24</w:t>
            </w:r>
          </w:p>
        </w:tc>
        <w:tc>
          <w:tcPr>
            <w:tcW w:w="1653"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403门卫</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民</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1</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砖混</w:t>
            </w: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40</w:t>
            </w: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40</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25</w:t>
            </w:r>
          </w:p>
        </w:tc>
        <w:tc>
          <w:tcPr>
            <w:tcW w:w="1653"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404门卫</w:t>
            </w:r>
          </w:p>
        </w:tc>
        <w:tc>
          <w:tcPr>
            <w:tcW w:w="701" w:type="dxa"/>
            <w:noWrap w:val="0"/>
            <w:vAlign w:val="center"/>
          </w:tcPr>
          <w:p>
            <w:pPr>
              <w:tabs>
                <w:tab w:val="left" w:pos="900"/>
              </w:tabs>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民</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1</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砖混</w:t>
            </w:r>
          </w:p>
        </w:tc>
        <w:tc>
          <w:tcPr>
            <w:tcW w:w="121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40</w:t>
            </w:r>
          </w:p>
        </w:tc>
        <w:tc>
          <w:tcPr>
            <w:tcW w:w="1200" w:type="dxa"/>
            <w:noWrap w:val="0"/>
            <w:vAlign w:val="center"/>
          </w:tcPr>
          <w:p>
            <w:pPr>
              <w:snapToGrid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40</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5" w:hRule="atLeast"/>
          <w:jc w:val="center"/>
        </w:trPr>
        <w:tc>
          <w:tcPr>
            <w:tcW w:w="654" w:type="dxa"/>
            <w:noWrap w:val="0"/>
            <w:vAlign w:val="center"/>
          </w:tcPr>
          <w:p>
            <w:pPr>
              <w:tabs>
                <w:tab w:val="left" w:pos="900"/>
              </w:tabs>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26</w:t>
            </w:r>
          </w:p>
        </w:tc>
        <w:tc>
          <w:tcPr>
            <w:tcW w:w="1653"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405分析室</w:t>
            </w:r>
          </w:p>
        </w:tc>
        <w:tc>
          <w:tcPr>
            <w:tcW w:w="701" w:type="dxa"/>
            <w:noWrap w:val="0"/>
            <w:vAlign w:val="center"/>
          </w:tcPr>
          <w:p>
            <w:pPr>
              <w:tabs>
                <w:tab w:val="left" w:pos="900"/>
              </w:tabs>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丁</w:t>
            </w:r>
          </w:p>
        </w:tc>
        <w:tc>
          <w:tcPr>
            <w:tcW w:w="709"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二级</w:t>
            </w:r>
          </w:p>
        </w:tc>
        <w:tc>
          <w:tcPr>
            <w:tcW w:w="772" w:type="dxa"/>
            <w:noWrap w:val="0"/>
            <w:vAlign w:val="center"/>
          </w:tcPr>
          <w:p>
            <w:pPr>
              <w:tabs>
                <w:tab w:val="left" w:pos="900"/>
              </w:tabs>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1</w:t>
            </w:r>
          </w:p>
        </w:tc>
        <w:tc>
          <w:tcPr>
            <w:tcW w:w="718"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r>
              <w:rPr>
                <w:rFonts w:hint="default" w:ascii="Times New Roman" w:hAnsi="Times New Roman" w:cs="Times New Roman"/>
                <w:bCs/>
                <w:sz w:val="21"/>
                <w:szCs w:val="21"/>
                <w:lang w:val="en-GB"/>
              </w:rPr>
              <w:t>砖混</w:t>
            </w:r>
          </w:p>
        </w:tc>
        <w:tc>
          <w:tcPr>
            <w:tcW w:w="1210"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270</w:t>
            </w:r>
          </w:p>
        </w:tc>
        <w:tc>
          <w:tcPr>
            <w:tcW w:w="1200" w:type="dxa"/>
            <w:noWrap w:val="0"/>
            <w:vAlign w:val="center"/>
          </w:tcPr>
          <w:p>
            <w:pPr>
              <w:snapToGrid w:val="0"/>
              <w:spacing w:line="240" w:lineRule="auto"/>
              <w:jc w:val="center"/>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lang w:val="en-US" w:eastAsia="zh-CN"/>
              </w:rPr>
              <w:t>270</w:t>
            </w:r>
          </w:p>
        </w:tc>
        <w:tc>
          <w:tcPr>
            <w:tcW w:w="1671" w:type="dxa"/>
            <w:noWrap w:val="0"/>
            <w:vAlign w:val="center"/>
          </w:tcPr>
          <w:p>
            <w:pPr>
              <w:tabs>
                <w:tab w:val="left" w:pos="900"/>
              </w:tabs>
              <w:snapToGrid w:val="0"/>
              <w:spacing w:line="240" w:lineRule="auto"/>
              <w:jc w:val="center"/>
              <w:rPr>
                <w:rFonts w:hint="default" w:ascii="Times New Roman" w:hAnsi="Times New Roman" w:cs="Times New Roman"/>
                <w:bCs/>
                <w:sz w:val="21"/>
                <w:szCs w:val="21"/>
                <w:lang w:val="en-GB"/>
              </w:rPr>
            </w:pPr>
          </w:p>
        </w:tc>
      </w:tr>
    </w:tbl>
    <w:p>
      <w:pPr>
        <w:pStyle w:val="5"/>
        <w:keepLines/>
        <w:spacing w:line="360" w:lineRule="auto"/>
        <w:jc w:val="both"/>
        <w:rPr>
          <w:rFonts w:hint="default" w:ascii="Times New Roman" w:hAnsi="Times New Roman" w:cs="Times New Roman"/>
          <w:b/>
          <w:bCs/>
        </w:rPr>
      </w:pPr>
      <w:bookmarkStart w:id="35" w:name="_Toc476308033"/>
      <w:bookmarkStart w:id="36" w:name="_Toc14996"/>
      <w:bookmarkStart w:id="37" w:name="_Toc476307450"/>
      <w:r>
        <w:rPr>
          <w:rFonts w:hint="default" w:ascii="Times New Roman" w:hAnsi="Times New Roman" w:cs="Times New Roman"/>
          <w:b/>
          <w:bCs/>
        </w:rPr>
        <w:t>2.5.4建（构）筑物的防火间距</w:t>
      </w:r>
      <w:bookmarkEnd w:id="35"/>
      <w:bookmarkEnd w:id="36"/>
      <w:bookmarkEnd w:id="37"/>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lang w:val="zh-CN"/>
        </w:rPr>
        <w:t>根据《建筑设计防火规范》GB50016-2014（</w:t>
      </w:r>
      <w:r>
        <w:rPr>
          <w:rFonts w:hint="default" w:ascii="Times New Roman" w:hAnsi="Times New Roman" w:cs="Times New Roman"/>
          <w:sz w:val="28"/>
          <w:szCs w:val="28"/>
        </w:rPr>
        <w:t>2018年修改</w:t>
      </w:r>
      <w:r>
        <w:rPr>
          <w:rFonts w:hint="default" w:ascii="Times New Roman" w:hAnsi="Times New Roman" w:cs="Times New Roman"/>
          <w:sz w:val="28"/>
          <w:szCs w:val="28"/>
          <w:lang w:val="zh-CN"/>
        </w:rPr>
        <w:t>）等规定，企业建构筑物的</w:t>
      </w:r>
      <w:r>
        <w:rPr>
          <w:rFonts w:hint="default" w:ascii="Times New Roman" w:hAnsi="Times New Roman" w:cs="Times New Roman"/>
          <w:sz w:val="28"/>
          <w:szCs w:val="28"/>
        </w:rPr>
        <w:t>防火距离符合性检查表见表2.5-2。</w:t>
      </w:r>
    </w:p>
    <w:p>
      <w:pPr>
        <w:spacing w:line="360" w:lineRule="auto"/>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表2.5-2  建、构筑物之间的距离</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1"/>
        <w:gridCol w:w="1113"/>
        <w:gridCol w:w="2364"/>
        <w:gridCol w:w="1117"/>
        <w:gridCol w:w="1485"/>
        <w:gridCol w:w="18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1391"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名称</w:t>
            </w:r>
          </w:p>
        </w:tc>
        <w:tc>
          <w:tcPr>
            <w:tcW w:w="1113"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相对位置</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建、构筑物名称</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实际距离m</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规范要求间距m</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restart"/>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101生产车间一（丁类）</w:t>
            </w: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104生产车间四（</w:t>
            </w:r>
            <w:r>
              <w:rPr>
                <w:rFonts w:hint="default" w:ascii="Times New Roman" w:hAnsi="Times New Roman" w:cs="Times New Roman"/>
                <w:sz w:val="21"/>
                <w:szCs w:val="21"/>
              </w:rPr>
              <w:t>丁类</w:t>
            </w:r>
            <w:r>
              <w:rPr>
                <w:rFonts w:hint="default" w:ascii="Times New Roman" w:hAnsi="Times New Roman" w:cs="Times New Roman"/>
                <w:kern w:val="0"/>
                <w:sz w:val="21"/>
                <w:szCs w:val="21"/>
              </w:rPr>
              <w:t>）</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14</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102生产车间二（</w:t>
            </w:r>
            <w:r>
              <w:rPr>
                <w:rFonts w:hint="default" w:ascii="Times New Roman" w:hAnsi="Times New Roman" w:cs="Times New Roman"/>
                <w:sz w:val="21"/>
                <w:szCs w:val="21"/>
              </w:rPr>
              <w:t>丁类</w:t>
            </w:r>
            <w:r>
              <w:rPr>
                <w:rFonts w:hint="default" w:ascii="Times New Roman" w:hAnsi="Times New Roman" w:cs="Times New Roman"/>
                <w:kern w:val="0"/>
                <w:sz w:val="21"/>
                <w:szCs w:val="21"/>
              </w:rPr>
              <w:t>）</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19</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西面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309包装材料仓库（丙类）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sz w:val="21"/>
                <w:szCs w:val="21"/>
              </w:rPr>
              <w:t>20</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8"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东北面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312尾气处理装置区</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19.4</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818" w:type="dxa"/>
            <w:noWrap w:val="0"/>
            <w:vAlign w:val="center"/>
          </w:tcPr>
          <w:p>
            <w:pPr>
              <w:spacing w:line="240" w:lineRule="exact"/>
              <w:jc w:val="center"/>
              <w:rPr>
                <w:rFonts w:hint="default" w:ascii="Times New Roman" w:hAnsi="Times New Roman" w:cs="Times New Roman"/>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restart"/>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102生产车间二（</w:t>
            </w:r>
            <w:r>
              <w:rPr>
                <w:rFonts w:hint="default" w:ascii="Times New Roman" w:hAnsi="Times New Roman" w:cs="Times New Roman"/>
                <w:sz w:val="21"/>
                <w:szCs w:val="21"/>
              </w:rPr>
              <w:t>丁类</w:t>
            </w:r>
            <w:r>
              <w:rPr>
                <w:rFonts w:hint="default" w:ascii="Times New Roman" w:hAnsi="Times New Roman" w:cs="Times New Roman"/>
                <w:kern w:val="0"/>
                <w:sz w:val="21"/>
                <w:szCs w:val="21"/>
              </w:rPr>
              <w:t>）</w:t>
            </w:r>
          </w:p>
        </w:tc>
        <w:tc>
          <w:tcPr>
            <w:tcW w:w="1113"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sz w:val="21"/>
                <w:szCs w:val="21"/>
              </w:rPr>
              <w:t>北面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rPr>
              <w:t>101生产车间一（丁类）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19</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西面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201原料罐区一（戊类）</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6.8</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818" w:type="dxa"/>
            <w:noWrap w:val="0"/>
            <w:vAlign w:val="center"/>
          </w:tcPr>
          <w:p>
            <w:pPr>
              <w:spacing w:line="240" w:lineRule="exact"/>
              <w:jc w:val="center"/>
              <w:rPr>
                <w:rFonts w:hint="default" w:ascii="Times New Roman" w:hAnsi="Times New Roman" w:cs="Times New Roman"/>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8"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sz w:val="21"/>
                <w:szCs w:val="21"/>
              </w:rPr>
              <w:t>东北面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312尾气处理装置区</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46</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818" w:type="dxa"/>
            <w:noWrap w:val="0"/>
            <w:vAlign w:val="center"/>
          </w:tcPr>
          <w:p>
            <w:pPr>
              <w:spacing w:line="240" w:lineRule="exact"/>
              <w:jc w:val="center"/>
              <w:rPr>
                <w:rFonts w:hint="default" w:ascii="Times New Roman" w:hAnsi="Times New Roman" w:cs="Times New Roman"/>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302锅炉房</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22</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1391" w:type="dxa"/>
            <w:vMerge w:val="restart"/>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103生产车间三（丁类）</w:t>
            </w: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105烘干车间（丁类）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12</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bCs/>
                <w:sz w:val="21"/>
                <w:szCs w:val="21"/>
              </w:rPr>
            </w:pP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1391" w:type="dxa"/>
            <w:vMerge w:val="continue"/>
            <w:noWrap w:val="0"/>
            <w:vAlign w:val="center"/>
          </w:tcPr>
          <w:p>
            <w:pPr>
              <w:spacing w:line="240" w:lineRule="exact"/>
              <w:jc w:val="center"/>
              <w:rPr>
                <w:rFonts w:hint="default" w:ascii="Times New Roman" w:hAnsi="Times New Roman" w:cs="Times New Roman"/>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西面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312尾气处理装置区</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1485"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rPr>
              <w:t>/</w:t>
            </w:r>
          </w:p>
        </w:tc>
        <w:tc>
          <w:tcPr>
            <w:tcW w:w="1818" w:type="dxa"/>
            <w:noWrap w:val="0"/>
            <w:vAlign w:val="center"/>
          </w:tcPr>
          <w:p>
            <w:pPr>
              <w:spacing w:line="240" w:lineRule="exact"/>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6" w:hRule="atLeast"/>
          <w:jc w:val="center"/>
        </w:trPr>
        <w:tc>
          <w:tcPr>
            <w:tcW w:w="1391" w:type="dxa"/>
            <w:vMerge w:val="continue"/>
            <w:noWrap w:val="0"/>
            <w:vAlign w:val="center"/>
          </w:tcPr>
          <w:p>
            <w:pPr>
              <w:spacing w:line="240" w:lineRule="exact"/>
              <w:jc w:val="center"/>
              <w:rPr>
                <w:rFonts w:hint="default" w:ascii="Times New Roman" w:hAnsi="Times New Roman" w:cs="Times New Roman"/>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南面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围墙</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485"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818"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bCs/>
                <w:sz w:val="21"/>
                <w:szCs w:val="21"/>
              </w:rPr>
              <w:t>《建筑设计防火规范》（2018版）3.4.12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1391" w:type="dxa"/>
            <w:vMerge w:val="restart"/>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104生产车间四（丁类）</w:t>
            </w: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围墙</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485"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818"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bCs/>
                <w:sz w:val="21"/>
                <w:szCs w:val="21"/>
              </w:rPr>
              <w:t>《建筑设计防火规范》（2018版）3.4.12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1391" w:type="dxa"/>
            <w:vMerge w:val="continue"/>
            <w:noWrap w:val="0"/>
            <w:vAlign w:val="center"/>
          </w:tcPr>
          <w:p>
            <w:pPr>
              <w:spacing w:line="240" w:lineRule="exact"/>
              <w:jc w:val="center"/>
              <w:rPr>
                <w:rFonts w:hint="default" w:ascii="Times New Roman" w:hAnsi="Times New Roman" w:cs="Times New Roman"/>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南面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312尾气处理装置区</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1485"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818" w:type="dxa"/>
            <w:noWrap w:val="0"/>
            <w:vAlign w:val="center"/>
          </w:tcPr>
          <w:p>
            <w:pPr>
              <w:spacing w:line="240" w:lineRule="exact"/>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1391" w:type="dxa"/>
            <w:vMerge w:val="continue"/>
            <w:noWrap w:val="0"/>
            <w:vAlign w:val="center"/>
          </w:tcPr>
          <w:p>
            <w:pPr>
              <w:spacing w:line="240" w:lineRule="exact"/>
              <w:jc w:val="center"/>
              <w:rPr>
                <w:rFonts w:hint="default" w:ascii="Times New Roman" w:hAnsi="Times New Roman" w:cs="Times New Roman"/>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西面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101生产车间三（</w:t>
            </w:r>
            <w:r>
              <w:rPr>
                <w:rFonts w:hint="default" w:ascii="Times New Roman" w:hAnsi="Times New Roman" w:cs="Times New Roman"/>
                <w:sz w:val="21"/>
                <w:szCs w:val="21"/>
              </w:rPr>
              <w:t>丁类</w:t>
            </w:r>
            <w:r>
              <w:rPr>
                <w:rFonts w:hint="default" w:ascii="Times New Roman" w:hAnsi="Times New Roman" w:cs="Times New Roman"/>
                <w:kern w:val="0"/>
                <w:sz w:val="21"/>
                <w:szCs w:val="21"/>
              </w:rPr>
              <w:t>）</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14</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1391" w:type="dxa"/>
            <w:vMerge w:val="continue"/>
            <w:noWrap w:val="0"/>
            <w:vAlign w:val="center"/>
          </w:tcPr>
          <w:p>
            <w:pPr>
              <w:spacing w:line="240" w:lineRule="exact"/>
              <w:jc w:val="center"/>
              <w:rPr>
                <w:rFonts w:hint="default" w:ascii="Times New Roman" w:hAnsi="Times New Roman" w:cs="Times New Roman"/>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东面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104烘干车间（</w:t>
            </w:r>
            <w:r>
              <w:rPr>
                <w:rFonts w:hint="default" w:ascii="Times New Roman" w:hAnsi="Times New Roman" w:cs="Times New Roman"/>
                <w:sz w:val="21"/>
                <w:szCs w:val="21"/>
              </w:rPr>
              <w:t>丁类，</w:t>
            </w:r>
            <w:r>
              <w:rPr>
                <w:rFonts w:hint="default" w:ascii="Times New Roman" w:hAnsi="Times New Roman" w:cs="Times New Roman"/>
                <w:kern w:val="0"/>
                <w:sz w:val="21"/>
                <w:szCs w:val="21"/>
              </w:rPr>
              <w:t>）</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restart"/>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105烘干车间（丁类）</w:t>
            </w: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204成品仓库一（丁类）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西面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301变配电间</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相邻</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不限</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设有实体墙，无门窗、无孔洞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104生产车间四（</w:t>
            </w:r>
            <w:r>
              <w:rPr>
                <w:rFonts w:hint="default" w:ascii="Times New Roman" w:hAnsi="Times New Roman" w:cs="Times New Roman"/>
                <w:sz w:val="21"/>
                <w:szCs w:val="21"/>
              </w:rPr>
              <w:t>丁类，</w:t>
            </w:r>
            <w:r>
              <w:rPr>
                <w:rFonts w:hint="default" w:ascii="Times New Roman" w:hAnsi="Times New Roman" w:cs="Times New Roman"/>
                <w:kern w:val="0"/>
                <w:sz w:val="21"/>
                <w:szCs w:val="21"/>
              </w:rPr>
              <w:t>）</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东面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103生产车间三（丁类）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14</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1391" w:type="dxa"/>
            <w:vMerge w:val="restart"/>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eastAsia="zh-CN"/>
              </w:rPr>
              <w:t>203烘干包装库</w:t>
            </w:r>
            <w:r>
              <w:rPr>
                <w:rFonts w:hint="default" w:ascii="Times New Roman" w:hAnsi="Times New Roman" w:cs="Times New Roman"/>
                <w:kern w:val="0"/>
                <w:sz w:val="21"/>
                <w:szCs w:val="21"/>
              </w:rPr>
              <w:t>（丁类）</w:t>
            </w: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西面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204成品仓库一（丁类）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103生产车间三（丁类）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1391" w:type="dxa"/>
            <w:vMerge w:val="continue"/>
            <w:noWrap w:val="0"/>
            <w:vAlign w:val="center"/>
          </w:tcPr>
          <w:p>
            <w:pPr>
              <w:spacing w:line="240" w:lineRule="exact"/>
              <w:jc w:val="center"/>
              <w:rPr>
                <w:rFonts w:hint="default" w:ascii="Times New Roman" w:hAnsi="Times New Roman" w:cs="Times New Roman"/>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北面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308半成品仓库（丁类）</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485"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818"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301变配电间</w:t>
            </w: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204成品仓库一（丁类）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818" w:type="dxa"/>
            <w:noWrap w:val="0"/>
            <w:vAlign w:val="center"/>
          </w:tcPr>
          <w:p>
            <w:pPr>
              <w:spacing w:line="240" w:lineRule="exact"/>
              <w:jc w:val="center"/>
              <w:rPr>
                <w:rFonts w:hint="default" w:ascii="Times New Roman" w:hAnsi="Times New Roman" w:cs="Times New Roman"/>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restart"/>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309包装材料仓库（丙类）</w:t>
            </w: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东北面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101生产车间一（丁类）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22</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东南面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102生产车间二（丁类）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23</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rPr>
              <w:t>《建筑设计防火规范》（2018版）3.4.1</w:t>
            </w:r>
          </w:p>
        </w:tc>
      </w:tr>
    </w:tbl>
    <w:p>
      <w:pPr>
        <w:pStyle w:val="23"/>
        <w:spacing w:after="0" w:line="560" w:lineRule="exact"/>
        <w:ind w:firstLine="638" w:firstLineChars="228"/>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表2.5-3 厂房的耐火等级、层数、面积检查表</w:t>
      </w:r>
    </w:p>
    <w:tbl>
      <w:tblPr>
        <w:tblStyle w:val="25"/>
        <w:tblW w:w="50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434"/>
        <w:gridCol w:w="427"/>
        <w:gridCol w:w="427"/>
        <w:gridCol w:w="718"/>
        <w:gridCol w:w="738"/>
        <w:gridCol w:w="438"/>
        <w:gridCol w:w="1529"/>
        <w:gridCol w:w="427"/>
        <w:gridCol w:w="576"/>
        <w:gridCol w:w="673"/>
        <w:gridCol w:w="878"/>
        <w:gridCol w:w="814"/>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0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建(构)筑物名称</w:t>
            </w:r>
          </w:p>
        </w:tc>
        <w:tc>
          <w:tcPr>
            <w:tcW w:w="23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火险类别</w:t>
            </w:r>
          </w:p>
        </w:tc>
        <w:tc>
          <w:tcPr>
            <w:tcW w:w="1474" w:type="pct"/>
            <w:gridSpan w:val="5"/>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实际情况</w:t>
            </w:r>
          </w:p>
        </w:tc>
        <w:tc>
          <w:tcPr>
            <w:tcW w:w="2626" w:type="pct"/>
            <w:gridSpan w:val="6"/>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规范要求</w:t>
            </w:r>
          </w:p>
        </w:tc>
        <w:tc>
          <w:tcPr>
            <w:tcW w:w="35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0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firstLine="420"/>
              <w:jc w:val="center"/>
              <w:textAlignment w:val="auto"/>
              <w:rPr>
                <w:rFonts w:hint="default" w:ascii="Times New Roman" w:hAnsi="Times New Roman" w:cs="Times New Roman"/>
                <w:sz w:val="21"/>
                <w:szCs w:val="21"/>
              </w:rPr>
            </w:pPr>
          </w:p>
        </w:tc>
        <w:tc>
          <w:tcPr>
            <w:tcW w:w="23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p>
        </w:tc>
        <w:tc>
          <w:tcPr>
            <w:tcW w:w="22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结构</w:t>
            </w:r>
          </w:p>
        </w:tc>
        <w:tc>
          <w:tcPr>
            <w:tcW w:w="22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层数</w:t>
            </w:r>
          </w:p>
        </w:tc>
        <w:tc>
          <w:tcPr>
            <w:tcW w:w="38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建筑面积(㎡)</w:t>
            </w:r>
          </w:p>
        </w:tc>
        <w:tc>
          <w:tcPr>
            <w:tcW w:w="39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最大防火分区面积(㎡)</w:t>
            </w:r>
          </w:p>
        </w:tc>
        <w:tc>
          <w:tcPr>
            <w:tcW w:w="233"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耐火等级</w:t>
            </w:r>
          </w:p>
        </w:tc>
        <w:tc>
          <w:tcPr>
            <w:tcW w:w="820"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检查依据</w:t>
            </w:r>
          </w:p>
        </w:tc>
        <w:tc>
          <w:tcPr>
            <w:tcW w:w="22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耐火等级</w:t>
            </w:r>
          </w:p>
        </w:tc>
        <w:tc>
          <w:tcPr>
            <w:tcW w:w="30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最多允许层数</w:t>
            </w:r>
          </w:p>
        </w:tc>
        <w:tc>
          <w:tcPr>
            <w:tcW w:w="1268"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防火分区最大允许建筑面积(㎡)</w:t>
            </w:r>
          </w:p>
        </w:tc>
        <w:tc>
          <w:tcPr>
            <w:tcW w:w="3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30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firstLine="420"/>
              <w:jc w:val="center"/>
              <w:textAlignment w:val="auto"/>
              <w:rPr>
                <w:rFonts w:hint="default" w:ascii="Times New Roman" w:hAnsi="Times New Roman" w:cs="Times New Roman"/>
                <w:sz w:val="21"/>
                <w:szCs w:val="21"/>
              </w:rPr>
            </w:pPr>
          </w:p>
        </w:tc>
        <w:tc>
          <w:tcPr>
            <w:tcW w:w="23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p>
        </w:tc>
        <w:tc>
          <w:tcPr>
            <w:tcW w:w="2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p>
        </w:tc>
        <w:tc>
          <w:tcPr>
            <w:tcW w:w="2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p>
        </w:tc>
        <w:tc>
          <w:tcPr>
            <w:tcW w:w="38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p>
        </w:tc>
        <w:tc>
          <w:tcPr>
            <w:tcW w:w="39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p>
        </w:tc>
        <w:tc>
          <w:tcPr>
            <w:tcW w:w="233"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p>
        </w:tc>
        <w:tc>
          <w:tcPr>
            <w:tcW w:w="820"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p>
        </w:tc>
        <w:tc>
          <w:tcPr>
            <w:tcW w:w="22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p>
        </w:tc>
        <w:tc>
          <w:tcPr>
            <w:tcW w:w="30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单层厂房</w:t>
            </w:r>
          </w:p>
        </w:tc>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多层厂房</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高层厂房</w:t>
            </w:r>
          </w:p>
        </w:tc>
        <w:tc>
          <w:tcPr>
            <w:tcW w:w="359"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304" w:type="pct"/>
            <w:vAlign w:val="center"/>
          </w:tcPr>
          <w:p>
            <w:pPr>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bCs/>
                <w:sz w:val="21"/>
                <w:szCs w:val="21"/>
              </w:rPr>
              <w:t>101生产车间一</w:t>
            </w:r>
          </w:p>
        </w:tc>
        <w:tc>
          <w:tcPr>
            <w:tcW w:w="233" w:type="pct"/>
            <w:vAlign w:val="center"/>
          </w:tcPr>
          <w:p>
            <w:pPr>
              <w:tabs>
                <w:tab w:val="left" w:pos="900"/>
              </w:tabs>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丁类</w:t>
            </w:r>
          </w:p>
        </w:tc>
        <w:tc>
          <w:tcPr>
            <w:tcW w:w="22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框架</w:t>
            </w:r>
          </w:p>
        </w:tc>
        <w:tc>
          <w:tcPr>
            <w:tcW w:w="229" w:type="pct"/>
            <w:vAlign w:val="center"/>
          </w:tcPr>
          <w:p>
            <w:pPr>
              <w:tabs>
                <w:tab w:val="left" w:pos="900"/>
              </w:tabs>
              <w:snapToGrid w:val="0"/>
              <w:spacing w:line="240" w:lineRule="auto"/>
              <w:jc w:val="center"/>
              <w:rPr>
                <w:rFonts w:hint="default" w:ascii="Times New Roman" w:hAnsi="Times New Roman" w:eastAsia="宋体" w:cs="Times New Roman"/>
                <w:bCs/>
                <w:kern w:val="2"/>
                <w:sz w:val="21"/>
                <w:szCs w:val="21"/>
                <w:lang w:val="en-GB" w:eastAsia="zh-CN" w:bidi="ar-SA"/>
              </w:rPr>
            </w:pPr>
            <w:r>
              <w:rPr>
                <w:rFonts w:hint="default" w:ascii="Times New Roman" w:hAnsi="Times New Roman" w:cs="Times New Roman"/>
                <w:bCs/>
                <w:sz w:val="21"/>
                <w:szCs w:val="21"/>
                <w:lang w:val="en-GB"/>
              </w:rPr>
              <w:t>3</w:t>
            </w:r>
          </w:p>
        </w:tc>
        <w:tc>
          <w:tcPr>
            <w:tcW w:w="385" w:type="pct"/>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2400</w:t>
            </w:r>
          </w:p>
        </w:tc>
        <w:tc>
          <w:tcPr>
            <w:tcW w:w="396" w:type="pct"/>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2400</w:t>
            </w:r>
          </w:p>
        </w:tc>
        <w:tc>
          <w:tcPr>
            <w:tcW w:w="23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二级</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《建筑设计防火规范》GB50016-2014第3.3.1条</w:t>
            </w:r>
          </w:p>
        </w:tc>
        <w:tc>
          <w:tcPr>
            <w:tcW w:w="22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二级</w:t>
            </w:r>
          </w:p>
        </w:tc>
        <w:tc>
          <w:tcPr>
            <w:tcW w:w="30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18"/>
                <w:szCs w:val="18"/>
              </w:rPr>
              <w:t>不限</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18"/>
                <w:szCs w:val="18"/>
              </w:rPr>
              <w:t>不限</w:t>
            </w:r>
          </w:p>
        </w:tc>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18"/>
                <w:szCs w:val="18"/>
              </w:rPr>
              <w:t xml:space="preserve"> 不限</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18"/>
                <w:szCs w:val="18"/>
              </w:rPr>
              <w:t>4000</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0" w:hRule="atLeast"/>
          <w:jc w:val="center"/>
        </w:trPr>
        <w:tc>
          <w:tcPr>
            <w:tcW w:w="304" w:type="pct"/>
            <w:vAlign w:val="center"/>
          </w:tcPr>
          <w:p>
            <w:pPr>
              <w:snapToGrid w:val="0"/>
              <w:spacing w:line="240" w:lineRule="auto"/>
              <w:jc w:val="center"/>
              <w:rPr>
                <w:rFonts w:hint="default" w:ascii="Times New Roman" w:hAnsi="Times New Roman" w:cs="Times New Roman"/>
                <w:sz w:val="18"/>
                <w:szCs w:val="18"/>
              </w:rPr>
            </w:pPr>
            <w:r>
              <w:rPr>
                <w:rFonts w:hint="default" w:ascii="Times New Roman" w:hAnsi="Times New Roman" w:cs="Times New Roman"/>
                <w:bCs/>
                <w:sz w:val="21"/>
                <w:szCs w:val="21"/>
              </w:rPr>
              <w:t>102生产车间二</w:t>
            </w:r>
          </w:p>
        </w:tc>
        <w:tc>
          <w:tcPr>
            <w:tcW w:w="233" w:type="pct"/>
            <w:vAlign w:val="center"/>
          </w:tcPr>
          <w:p>
            <w:pPr>
              <w:tabs>
                <w:tab w:val="left" w:pos="900"/>
              </w:tabs>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丁类</w:t>
            </w:r>
          </w:p>
        </w:tc>
        <w:tc>
          <w:tcPr>
            <w:tcW w:w="22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框架</w:t>
            </w:r>
          </w:p>
        </w:tc>
        <w:tc>
          <w:tcPr>
            <w:tcW w:w="229" w:type="pct"/>
            <w:vAlign w:val="center"/>
          </w:tcPr>
          <w:p>
            <w:pPr>
              <w:tabs>
                <w:tab w:val="left" w:pos="900"/>
              </w:tabs>
              <w:snapToGrid w:val="0"/>
              <w:spacing w:line="240" w:lineRule="auto"/>
              <w:jc w:val="center"/>
              <w:rPr>
                <w:rFonts w:hint="default" w:ascii="Times New Roman" w:hAnsi="Times New Roman" w:eastAsia="宋体" w:cs="Times New Roman"/>
                <w:bCs/>
                <w:kern w:val="2"/>
                <w:sz w:val="21"/>
                <w:szCs w:val="21"/>
                <w:lang w:val="en-GB" w:eastAsia="zh-CN" w:bidi="ar-SA"/>
              </w:rPr>
            </w:pPr>
            <w:r>
              <w:rPr>
                <w:rFonts w:hint="default" w:ascii="Times New Roman" w:hAnsi="Times New Roman" w:cs="Times New Roman"/>
                <w:bCs/>
                <w:sz w:val="21"/>
                <w:szCs w:val="21"/>
                <w:lang w:val="en-GB"/>
              </w:rPr>
              <w:t>3</w:t>
            </w:r>
          </w:p>
        </w:tc>
        <w:tc>
          <w:tcPr>
            <w:tcW w:w="385" w:type="pct"/>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2658</w:t>
            </w:r>
          </w:p>
        </w:tc>
        <w:tc>
          <w:tcPr>
            <w:tcW w:w="396" w:type="pct"/>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2658</w:t>
            </w:r>
          </w:p>
        </w:tc>
        <w:tc>
          <w:tcPr>
            <w:tcW w:w="23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《建筑设计防火规范》GB50016-2014第3.3.1条</w:t>
            </w:r>
          </w:p>
        </w:tc>
        <w:tc>
          <w:tcPr>
            <w:tcW w:w="22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30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不限</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不限</w:t>
            </w:r>
          </w:p>
        </w:tc>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 不限</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4000</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304" w:type="pct"/>
            <w:vAlign w:val="center"/>
          </w:tcPr>
          <w:p>
            <w:pPr>
              <w:snapToGrid w:val="0"/>
              <w:spacing w:line="240" w:lineRule="auto"/>
              <w:jc w:val="center"/>
              <w:rPr>
                <w:rFonts w:hint="default" w:ascii="Times New Roman" w:hAnsi="Times New Roman" w:cs="Times New Roman"/>
                <w:sz w:val="18"/>
                <w:szCs w:val="18"/>
              </w:rPr>
            </w:pPr>
            <w:r>
              <w:rPr>
                <w:rFonts w:hint="default" w:ascii="Times New Roman" w:hAnsi="Times New Roman" w:cs="Times New Roman"/>
                <w:bCs/>
                <w:sz w:val="21"/>
                <w:szCs w:val="21"/>
              </w:rPr>
              <w:t>103生产车间三</w:t>
            </w:r>
          </w:p>
        </w:tc>
        <w:tc>
          <w:tcPr>
            <w:tcW w:w="233" w:type="pct"/>
            <w:vAlign w:val="center"/>
          </w:tcPr>
          <w:p>
            <w:pPr>
              <w:tabs>
                <w:tab w:val="left" w:pos="900"/>
              </w:tabs>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丁类</w:t>
            </w:r>
          </w:p>
        </w:tc>
        <w:tc>
          <w:tcPr>
            <w:tcW w:w="22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框架</w:t>
            </w:r>
          </w:p>
        </w:tc>
        <w:tc>
          <w:tcPr>
            <w:tcW w:w="229" w:type="pct"/>
            <w:vAlign w:val="center"/>
          </w:tcPr>
          <w:p>
            <w:pPr>
              <w:tabs>
                <w:tab w:val="left" w:pos="900"/>
              </w:tabs>
              <w:snapToGrid w:val="0"/>
              <w:spacing w:line="240" w:lineRule="auto"/>
              <w:jc w:val="center"/>
              <w:rPr>
                <w:rFonts w:hint="default" w:ascii="Times New Roman" w:hAnsi="Times New Roman" w:eastAsia="宋体" w:cs="Times New Roman"/>
                <w:bCs/>
                <w:kern w:val="2"/>
                <w:sz w:val="21"/>
                <w:szCs w:val="21"/>
                <w:lang w:val="en-GB" w:eastAsia="zh-CN" w:bidi="ar-SA"/>
              </w:rPr>
            </w:pPr>
            <w:r>
              <w:rPr>
                <w:rFonts w:hint="default" w:ascii="Times New Roman" w:hAnsi="Times New Roman" w:cs="Times New Roman"/>
                <w:bCs/>
                <w:sz w:val="21"/>
                <w:szCs w:val="21"/>
                <w:lang w:val="en-GB"/>
              </w:rPr>
              <w:t>1</w:t>
            </w:r>
          </w:p>
        </w:tc>
        <w:tc>
          <w:tcPr>
            <w:tcW w:w="385" w:type="pct"/>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576</w:t>
            </w:r>
          </w:p>
        </w:tc>
        <w:tc>
          <w:tcPr>
            <w:tcW w:w="396" w:type="pct"/>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576</w:t>
            </w:r>
          </w:p>
        </w:tc>
        <w:tc>
          <w:tcPr>
            <w:tcW w:w="23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《建筑设计防火规范》GB50016-2014（2018版）第3.3.1条</w:t>
            </w:r>
          </w:p>
        </w:tc>
        <w:tc>
          <w:tcPr>
            <w:tcW w:w="22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30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不限</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不限</w:t>
            </w:r>
          </w:p>
        </w:tc>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 不限</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4000</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304" w:type="pct"/>
            <w:vAlign w:val="center"/>
          </w:tcPr>
          <w:p>
            <w:pPr>
              <w:snapToGrid w:val="0"/>
              <w:spacing w:line="240" w:lineRule="auto"/>
              <w:jc w:val="center"/>
              <w:rPr>
                <w:rFonts w:hint="default" w:ascii="Times New Roman" w:hAnsi="Times New Roman" w:cs="Times New Roman"/>
                <w:sz w:val="18"/>
                <w:szCs w:val="18"/>
              </w:rPr>
            </w:pPr>
            <w:r>
              <w:rPr>
                <w:rFonts w:hint="default" w:ascii="Times New Roman" w:hAnsi="Times New Roman" w:cs="Times New Roman"/>
                <w:bCs/>
                <w:sz w:val="21"/>
                <w:szCs w:val="21"/>
              </w:rPr>
              <w:t>104生产车间四</w:t>
            </w:r>
          </w:p>
        </w:tc>
        <w:tc>
          <w:tcPr>
            <w:tcW w:w="233" w:type="pct"/>
            <w:vAlign w:val="center"/>
          </w:tcPr>
          <w:p>
            <w:pPr>
              <w:tabs>
                <w:tab w:val="left" w:pos="900"/>
              </w:tabs>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丁类</w:t>
            </w:r>
          </w:p>
        </w:tc>
        <w:tc>
          <w:tcPr>
            <w:tcW w:w="22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框架</w:t>
            </w:r>
          </w:p>
        </w:tc>
        <w:tc>
          <w:tcPr>
            <w:tcW w:w="229" w:type="pct"/>
            <w:vAlign w:val="center"/>
          </w:tcPr>
          <w:p>
            <w:pPr>
              <w:tabs>
                <w:tab w:val="left" w:pos="900"/>
              </w:tabs>
              <w:snapToGrid w:val="0"/>
              <w:spacing w:line="240" w:lineRule="auto"/>
              <w:jc w:val="center"/>
              <w:rPr>
                <w:rFonts w:hint="default" w:ascii="Times New Roman" w:hAnsi="Times New Roman" w:eastAsia="宋体" w:cs="Times New Roman"/>
                <w:bCs/>
                <w:kern w:val="2"/>
                <w:sz w:val="21"/>
                <w:szCs w:val="21"/>
                <w:lang w:val="en-GB" w:eastAsia="zh-CN" w:bidi="ar-SA"/>
              </w:rPr>
            </w:pPr>
            <w:r>
              <w:rPr>
                <w:rFonts w:hint="default" w:ascii="Times New Roman" w:hAnsi="Times New Roman" w:cs="Times New Roman"/>
                <w:bCs/>
                <w:sz w:val="21"/>
                <w:szCs w:val="21"/>
                <w:lang w:val="en-GB"/>
              </w:rPr>
              <w:t>1</w:t>
            </w:r>
          </w:p>
        </w:tc>
        <w:tc>
          <w:tcPr>
            <w:tcW w:w="385" w:type="pct"/>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846</w:t>
            </w:r>
          </w:p>
        </w:tc>
        <w:tc>
          <w:tcPr>
            <w:tcW w:w="396" w:type="pct"/>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846</w:t>
            </w:r>
          </w:p>
        </w:tc>
        <w:tc>
          <w:tcPr>
            <w:tcW w:w="23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《建筑设计防火规范》GB50016-2014（2018版）第3.3.1条</w:t>
            </w:r>
          </w:p>
        </w:tc>
        <w:tc>
          <w:tcPr>
            <w:tcW w:w="22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30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不限</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不限</w:t>
            </w:r>
          </w:p>
        </w:tc>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 不限</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4000</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0" w:hRule="atLeast"/>
          <w:jc w:val="center"/>
        </w:trPr>
        <w:tc>
          <w:tcPr>
            <w:tcW w:w="304" w:type="pct"/>
            <w:vAlign w:val="center"/>
          </w:tcPr>
          <w:p>
            <w:pPr>
              <w:snapToGrid w:val="0"/>
              <w:spacing w:line="240" w:lineRule="auto"/>
              <w:jc w:val="center"/>
              <w:rPr>
                <w:rFonts w:hint="default" w:ascii="Times New Roman" w:hAnsi="Times New Roman" w:cs="Times New Roman"/>
                <w:sz w:val="18"/>
                <w:szCs w:val="18"/>
              </w:rPr>
            </w:pPr>
            <w:r>
              <w:rPr>
                <w:rFonts w:hint="default" w:ascii="Times New Roman" w:hAnsi="Times New Roman" w:cs="Times New Roman"/>
                <w:bCs/>
                <w:sz w:val="21"/>
                <w:szCs w:val="21"/>
              </w:rPr>
              <w:t>105生产车间五</w:t>
            </w:r>
          </w:p>
        </w:tc>
        <w:tc>
          <w:tcPr>
            <w:tcW w:w="233" w:type="pct"/>
            <w:vAlign w:val="center"/>
          </w:tcPr>
          <w:p>
            <w:pPr>
              <w:tabs>
                <w:tab w:val="left" w:pos="900"/>
              </w:tabs>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丁类</w:t>
            </w:r>
          </w:p>
        </w:tc>
        <w:tc>
          <w:tcPr>
            <w:tcW w:w="22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框架</w:t>
            </w:r>
          </w:p>
        </w:tc>
        <w:tc>
          <w:tcPr>
            <w:tcW w:w="229" w:type="pct"/>
            <w:vAlign w:val="center"/>
          </w:tcPr>
          <w:p>
            <w:pPr>
              <w:tabs>
                <w:tab w:val="left" w:pos="900"/>
              </w:tabs>
              <w:snapToGrid w:val="0"/>
              <w:spacing w:line="240" w:lineRule="auto"/>
              <w:jc w:val="center"/>
              <w:rPr>
                <w:rFonts w:hint="default" w:ascii="Times New Roman" w:hAnsi="Times New Roman" w:eastAsia="宋体" w:cs="Times New Roman"/>
                <w:bCs/>
                <w:kern w:val="2"/>
                <w:sz w:val="21"/>
                <w:szCs w:val="21"/>
                <w:lang w:val="en-GB" w:eastAsia="zh-CN" w:bidi="ar-SA"/>
              </w:rPr>
            </w:pPr>
            <w:r>
              <w:rPr>
                <w:rFonts w:hint="default" w:ascii="Times New Roman" w:hAnsi="Times New Roman" w:cs="Times New Roman"/>
                <w:bCs/>
                <w:sz w:val="21"/>
                <w:szCs w:val="21"/>
                <w:lang w:val="en-GB"/>
              </w:rPr>
              <w:t>1</w:t>
            </w:r>
          </w:p>
        </w:tc>
        <w:tc>
          <w:tcPr>
            <w:tcW w:w="385" w:type="pct"/>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576</w:t>
            </w:r>
          </w:p>
        </w:tc>
        <w:tc>
          <w:tcPr>
            <w:tcW w:w="396" w:type="pct"/>
            <w:vAlign w:val="center"/>
          </w:tcPr>
          <w:p>
            <w:pPr>
              <w:snapToGrid w:val="0"/>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576</w:t>
            </w:r>
          </w:p>
        </w:tc>
        <w:tc>
          <w:tcPr>
            <w:tcW w:w="23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《建筑设计防火规范》GB50016-2014（2018版）第3.3.1条</w:t>
            </w:r>
          </w:p>
        </w:tc>
        <w:tc>
          <w:tcPr>
            <w:tcW w:w="22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30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不限</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不限</w:t>
            </w:r>
          </w:p>
        </w:tc>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 不限</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4000</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304" w:type="pct"/>
            <w:vAlign w:val="center"/>
          </w:tcPr>
          <w:p>
            <w:pPr>
              <w:snapToGrid w:val="0"/>
              <w:spacing w:line="240" w:lineRule="auto"/>
              <w:jc w:val="center"/>
              <w:rPr>
                <w:rFonts w:hint="default" w:ascii="Times New Roman" w:hAnsi="Times New Roman" w:cs="Times New Roman"/>
                <w:sz w:val="18"/>
                <w:szCs w:val="18"/>
              </w:rPr>
            </w:pPr>
            <w:r>
              <w:rPr>
                <w:rFonts w:hint="default" w:ascii="Times New Roman" w:hAnsi="Times New Roman" w:cs="Times New Roman"/>
                <w:bCs/>
                <w:sz w:val="21"/>
                <w:szCs w:val="21"/>
              </w:rPr>
              <w:t>307机修车间</w:t>
            </w:r>
          </w:p>
        </w:tc>
        <w:tc>
          <w:tcPr>
            <w:tcW w:w="23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bCs/>
                <w:sz w:val="21"/>
                <w:szCs w:val="21"/>
              </w:rPr>
              <w:t>丁类</w:t>
            </w:r>
          </w:p>
        </w:tc>
        <w:tc>
          <w:tcPr>
            <w:tcW w:w="22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框架</w:t>
            </w:r>
          </w:p>
        </w:tc>
        <w:tc>
          <w:tcPr>
            <w:tcW w:w="22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1</w:t>
            </w:r>
          </w:p>
        </w:tc>
        <w:tc>
          <w:tcPr>
            <w:tcW w:w="385"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bCs/>
                <w:sz w:val="21"/>
                <w:szCs w:val="21"/>
              </w:rPr>
              <w:t>144</w:t>
            </w:r>
          </w:p>
        </w:tc>
        <w:tc>
          <w:tcPr>
            <w:tcW w:w="396"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bCs/>
                <w:sz w:val="21"/>
                <w:szCs w:val="21"/>
              </w:rPr>
              <w:t>144</w:t>
            </w:r>
          </w:p>
        </w:tc>
        <w:tc>
          <w:tcPr>
            <w:tcW w:w="233"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820"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《建筑设计防火规范》GB50016-2014（2018版）第3.3.1条</w:t>
            </w:r>
          </w:p>
        </w:tc>
        <w:tc>
          <w:tcPr>
            <w:tcW w:w="22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30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不限</w:t>
            </w:r>
          </w:p>
        </w:tc>
        <w:tc>
          <w:tcPr>
            <w:tcW w:w="36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不限</w:t>
            </w:r>
          </w:p>
        </w:tc>
        <w:tc>
          <w:tcPr>
            <w:tcW w:w="471"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 xml:space="preserve"> 不限</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4000</w:t>
            </w:r>
          </w:p>
        </w:tc>
        <w:tc>
          <w:tcPr>
            <w:tcW w:w="359" w:type="pc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符合要求</w:t>
            </w:r>
          </w:p>
        </w:tc>
      </w:tr>
    </w:tbl>
    <w:p>
      <w:pPr>
        <w:pStyle w:val="23"/>
        <w:spacing w:after="0" w:line="560" w:lineRule="exact"/>
        <w:ind w:firstLine="638" w:firstLineChars="228"/>
        <w:jc w:val="center"/>
        <w:rPr>
          <w:rFonts w:hint="default" w:ascii="Times New Roman" w:hAnsi="Times New Roman" w:eastAsia="宋体" w:cs="Times New Roman"/>
          <w:sz w:val="28"/>
          <w:szCs w:val="28"/>
        </w:rPr>
      </w:pPr>
    </w:p>
    <w:p>
      <w:pPr>
        <w:pStyle w:val="23"/>
        <w:spacing w:after="0" w:line="560" w:lineRule="exact"/>
        <w:ind w:firstLine="638" w:firstLineChars="228"/>
        <w:jc w:val="cente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表2.</w:t>
      </w:r>
      <w:r>
        <w:rPr>
          <w:rFonts w:hint="default" w:ascii="Times New Roman" w:hAnsi="Times New Roman" w:cs="Times New Roman"/>
          <w:sz w:val="28"/>
          <w:szCs w:val="28"/>
          <w:lang w:val="en-US" w:eastAsia="zh-CN"/>
        </w:rPr>
        <w:t>5-4</w:t>
      </w:r>
      <w:r>
        <w:rPr>
          <w:rFonts w:hint="default" w:ascii="Times New Roman" w:hAnsi="Times New Roman" w:eastAsia="宋体" w:cs="Times New Roman"/>
          <w:sz w:val="28"/>
          <w:szCs w:val="28"/>
        </w:rPr>
        <w:t xml:space="preserve"> 仓库的耐火等级、层数、面积检查表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485"/>
        <w:gridCol w:w="393"/>
        <w:gridCol w:w="364"/>
        <w:gridCol w:w="756"/>
        <w:gridCol w:w="776"/>
        <w:gridCol w:w="479"/>
        <w:gridCol w:w="1155"/>
        <w:gridCol w:w="451"/>
        <w:gridCol w:w="544"/>
        <w:gridCol w:w="490"/>
        <w:gridCol w:w="481"/>
        <w:gridCol w:w="518"/>
        <w:gridCol w:w="509"/>
        <w:gridCol w:w="57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建(构)筑物名称</w:t>
            </w:r>
          </w:p>
        </w:tc>
        <w:tc>
          <w:tcPr>
            <w:tcW w:w="261" w:type="pct"/>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火险类别</w:t>
            </w:r>
          </w:p>
        </w:tc>
        <w:tc>
          <w:tcPr>
            <w:tcW w:w="1491" w:type="pct"/>
            <w:gridSpan w:val="5"/>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实际情况</w:t>
            </w:r>
          </w:p>
        </w:tc>
        <w:tc>
          <w:tcPr>
            <w:tcW w:w="2542" w:type="pct"/>
            <w:gridSpan w:val="8"/>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规范要求</w:t>
            </w:r>
          </w:p>
        </w:tc>
        <w:tc>
          <w:tcPr>
            <w:tcW w:w="381" w:type="pct"/>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vAlign w:val="center"/>
          </w:tcPr>
          <w:p>
            <w:pPr>
              <w:keepNext w:val="0"/>
              <w:keepLines w:val="0"/>
              <w:pageBreakBefore w:val="0"/>
              <w:kinsoku/>
              <w:wordWrap/>
              <w:overflowPunct/>
              <w:topLinePunct w:val="0"/>
              <w:autoSpaceDE/>
              <w:autoSpaceDN/>
              <w:bidi w:val="0"/>
              <w:adjustRightInd/>
              <w:snapToGrid/>
              <w:spacing w:line="240" w:lineRule="exact"/>
              <w:ind w:firstLine="420"/>
              <w:jc w:val="center"/>
              <w:textAlignment w:val="auto"/>
              <w:rPr>
                <w:rFonts w:hint="default" w:ascii="Times New Roman" w:hAnsi="Times New Roman" w:cs="Times New Roman"/>
                <w:color w:val="000000"/>
                <w:sz w:val="18"/>
                <w:szCs w:val="18"/>
              </w:rPr>
            </w:pPr>
          </w:p>
        </w:tc>
        <w:tc>
          <w:tcPr>
            <w:tcW w:w="261" w:type="pct"/>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p>
        </w:tc>
        <w:tc>
          <w:tcPr>
            <w:tcW w:w="211" w:type="pct"/>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结构</w:t>
            </w:r>
          </w:p>
        </w:tc>
        <w:tc>
          <w:tcPr>
            <w:tcW w:w="196" w:type="pct"/>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层数</w:t>
            </w:r>
          </w:p>
        </w:tc>
        <w:tc>
          <w:tcPr>
            <w:tcW w:w="407" w:type="pct"/>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建筑面积(㎡)</w:t>
            </w:r>
          </w:p>
        </w:tc>
        <w:tc>
          <w:tcPr>
            <w:tcW w:w="418" w:type="pct"/>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最大防火分区面积(㎡)</w:t>
            </w:r>
          </w:p>
        </w:tc>
        <w:tc>
          <w:tcPr>
            <w:tcW w:w="258" w:type="pct"/>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耐火等级</w:t>
            </w:r>
          </w:p>
        </w:tc>
        <w:tc>
          <w:tcPr>
            <w:tcW w:w="622" w:type="pct"/>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检查依据</w:t>
            </w:r>
          </w:p>
        </w:tc>
        <w:tc>
          <w:tcPr>
            <w:tcW w:w="242" w:type="pct"/>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耐火等级</w:t>
            </w:r>
          </w:p>
        </w:tc>
        <w:tc>
          <w:tcPr>
            <w:tcW w:w="293" w:type="pct"/>
            <w:vMerge w:val="restar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最多允许层数</w:t>
            </w:r>
          </w:p>
        </w:tc>
        <w:tc>
          <w:tcPr>
            <w:tcW w:w="1384" w:type="pct"/>
            <w:gridSpan w:val="5"/>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防火分区最大允许建筑面积(㎡)</w:t>
            </w:r>
          </w:p>
        </w:tc>
        <w:tc>
          <w:tcPr>
            <w:tcW w:w="381" w:type="pct"/>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vAlign w:val="center"/>
          </w:tcPr>
          <w:p>
            <w:pPr>
              <w:keepNext w:val="0"/>
              <w:keepLines w:val="0"/>
              <w:pageBreakBefore w:val="0"/>
              <w:kinsoku/>
              <w:wordWrap/>
              <w:overflowPunct/>
              <w:topLinePunct w:val="0"/>
              <w:autoSpaceDE/>
              <w:autoSpaceDN/>
              <w:bidi w:val="0"/>
              <w:adjustRightInd/>
              <w:snapToGrid/>
              <w:spacing w:line="240" w:lineRule="exact"/>
              <w:ind w:firstLine="420"/>
              <w:jc w:val="center"/>
              <w:textAlignment w:val="auto"/>
              <w:rPr>
                <w:rFonts w:hint="default" w:ascii="Times New Roman" w:hAnsi="Times New Roman" w:cs="Times New Roman"/>
                <w:color w:val="000000"/>
                <w:sz w:val="18"/>
                <w:szCs w:val="18"/>
              </w:rPr>
            </w:pPr>
          </w:p>
        </w:tc>
        <w:tc>
          <w:tcPr>
            <w:tcW w:w="261" w:type="pct"/>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p>
        </w:tc>
        <w:tc>
          <w:tcPr>
            <w:tcW w:w="211" w:type="pct"/>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p>
        </w:tc>
        <w:tc>
          <w:tcPr>
            <w:tcW w:w="196" w:type="pct"/>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p>
        </w:tc>
        <w:tc>
          <w:tcPr>
            <w:tcW w:w="407" w:type="pct"/>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p>
        </w:tc>
        <w:tc>
          <w:tcPr>
            <w:tcW w:w="418" w:type="pct"/>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p>
        </w:tc>
        <w:tc>
          <w:tcPr>
            <w:tcW w:w="258" w:type="pct"/>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p>
        </w:tc>
        <w:tc>
          <w:tcPr>
            <w:tcW w:w="622" w:type="pct"/>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p>
        </w:tc>
        <w:tc>
          <w:tcPr>
            <w:tcW w:w="242" w:type="pct"/>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p>
        </w:tc>
        <w:tc>
          <w:tcPr>
            <w:tcW w:w="293" w:type="pct"/>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p>
        </w:tc>
        <w:tc>
          <w:tcPr>
            <w:tcW w:w="523" w:type="pct"/>
            <w:gridSpan w:val="2"/>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单层仓库</w:t>
            </w:r>
          </w:p>
        </w:tc>
        <w:tc>
          <w:tcPr>
            <w:tcW w:w="553" w:type="pct"/>
            <w:gridSpan w:val="2"/>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多层仓库</w:t>
            </w:r>
          </w:p>
        </w:tc>
        <w:tc>
          <w:tcPr>
            <w:tcW w:w="308"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高层仓库</w:t>
            </w:r>
          </w:p>
        </w:tc>
        <w:tc>
          <w:tcPr>
            <w:tcW w:w="381" w:type="pct"/>
            <w:vMerge w:val="continue"/>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rPr>
              <w:t>203</w:t>
            </w:r>
            <w:r>
              <w:rPr>
                <w:rFonts w:hint="default" w:ascii="Times New Roman" w:hAnsi="Times New Roman" w:cs="Times New Roman"/>
                <w:sz w:val="18"/>
                <w:szCs w:val="18"/>
                <w:lang w:val="en-US" w:eastAsia="zh-CN"/>
              </w:rPr>
              <w:t>烘干包装库</w:t>
            </w:r>
          </w:p>
        </w:tc>
        <w:tc>
          <w:tcPr>
            <w:tcW w:w="261"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rPr>
              <w:t>丁类</w:t>
            </w:r>
          </w:p>
        </w:tc>
        <w:tc>
          <w:tcPr>
            <w:tcW w:w="211"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框架</w:t>
            </w:r>
          </w:p>
        </w:tc>
        <w:tc>
          <w:tcPr>
            <w:tcW w:w="196"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w:t>
            </w:r>
          </w:p>
        </w:tc>
        <w:tc>
          <w:tcPr>
            <w:tcW w:w="407"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674</w:t>
            </w:r>
          </w:p>
        </w:tc>
        <w:tc>
          <w:tcPr>
            <w:tcW w:w="418"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674</w:t>
            </w:r>
          </w:p>
        </w:tc>
        <w:tc>
          <w:tcPr>
            <w:tcW w:w="258"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622"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《建筑设计防火规范》GB50016-2014第3.3.2条</w:t>
            </w:r>
          </w:p>
        </w:tc>
        <w:tc>
          <w:tcPr>
            <w:tcW w:w="242"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293"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不限</w:t>
            </w:r>
          </w:p>
        </w:tc>
        <w:tc>
          <w:tcPr>
            <w:tcW w:w="263"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不限</w:t>
            </w:r>
          </w:p>
        </w:tc>
        <w:tc>
          <w:tcPr>
            <w:tcW w:w="259"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3000</w:t>
            </w:r>
          </w:p>
        </w:tc>
        <w:tc>
          <w:tcPr>
            <w:tcW w:w="279"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不限</w:t>
            </w:r>
          </w:p>
        </w:tc>
        <w:tc>
          <w:tcPr>
            <w:tcW w:w="274"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1500</w:t>
            </w:r>
          </w:p>
        </w:tc>
        <w:tc>
          <w:tcPr>
            <w:tcW w:w="308"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4800/1200</w:t>
            </w:r>
          </w:p>
        </w:tc>
        <w:tc>
          <w:tcPr>
            <w:tcW w:w="381"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rPr>
              <w:t>204成品仓库一</w:t>
            </w:r>
          </w:p>
        </w:tc>
        <w:tc>
          <w:tcPr>
            <w:tcW w:w="261"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rPr>
              <w:t>丁类</w:t>
            </w:r>
          </w:p>
        </w:tc>
        <w:tc>
          <w:tcPr>
            <w:tcW w:w="211"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框架</w:t>
            </w:r>
          </w:p>
        </w:tc>
        <w:tc>
          <w:tcPr>
            <w:tcW w:w="196"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w:t>
            </w:r>
          </w:p>
        </w:tc>
        <w:tc>
          <w:tcPr>
            <w:tcW w:w="407"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684</w:t>
            </w:r>
          </w:p>
        </w:tc>
        <w:tc>
          <w:tcPr>
            <w:tcW w:w="418"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684</w:t>
            </w:r>
          </w:p>
        </w:tc>
        <w:tc>
          <w:tcPr>
            <w:tcW w:w="258"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622"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《建筑设计防火规范》GB50016-2014第3.3.2条</w:t>
            </w:r>
          </w:p>
        </w:tc>
        <w:tc>
          <w:tcPr>
            <w:tcW w:w="242"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二级</w:t>
            </w:r>
          </w:p>
        </w:tc>
        <w:tc>
          <w:tcPr>
            <w:tcW w:w="293"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不限</w:t>
            </w:r>
          </w:p>
        </w:tc>
        <w:tc>
          <w:tcPr>
            <w:tcW w:w="263"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不限</w:t>
            </w:r>
          </w:p>
        </w:tc>
        <w:tc>
          <w:tcPr>
            <w:tcW w:w="259"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3000</w:t>
            </w:r>
          </w:p>
        </w:tc>
        <w:tc>
          <w:tcPr>
            <w:tcW w:w="279"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不限</w:t>
            </w:r>
          </w:p>
        </w:tc>
        <w:tc>
          <w:tcPr>
            <w:tcW w:w="274"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1500</w:t>
            </w:r>
          </w:p>
        </w:tc>
        <w:tc>
          <w:tcPr>
            <w:tcW w:w="308"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4800/1200</w:t>
            </w:r>
          </w:p>
        </w:tc>
        <w:tc>
          <w:tcPr>
            <w:tcW w:w="381"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rPr>
              <w:t>308半成品仓库</w:t>
            </w:r>
          </w:p>
        </w:tc>
        <w:tc>
          <w:tcPr>
            <w:tcW w:w="261"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rPr>
              <w:t>丁类</w:t>
            </w:r>
          </w:p>
        </w:tc>
        <w:tc>
          <w:tcPr>
            <w:tcW w:w="211"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框架</w:t>
            </w:r>
          </w:p>
        </w:tc>
        <w:tc>
          <w:tcPr>
            <w:tcW w:w="196"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1</w:t>
            </w:r>
          </w:p>
        </w:tc>
        <w:tc>
          <w:tcPr>
            <w:tcW w:w="407"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lang w:val="en-US" w:eastAsia="zh-CN"/>
              </w:rPr>
              <w:t>328</w:t>
            </w:r>
          </w:p>
        </w:tc>
        <w:tc>
          <w:tcPr>
            <w:tcW w:w="418"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lang w:val="en-US" w:eastAsia="zh-CN"/>
              </w:rPr>
              <w:t>328</w:t>
            </w:r>
          </w:p>
        </w:tc>
        <w:tc>
          <w:tcPr>
            <w:tcW w:w="258"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二级</w:t>
            </w:r>
          </w:p>
        </w:tc>
        <w:tc>
          <w:tcPr>
            <w:tcW w:w="622"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《建筑设计防火规范》GB50016-2014第3.3.2条</w:t>
            </w:r>
          </w:p>
        </w:tc>
        <w:tc>
          <w:tcPr>
            <w:tcW w:w="451"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二级</w:t>
            </w:r>
          </w:p>
        </w:tc>
        <w:tc>
          <w:tcPr>
            <w:tcW w:w="544"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不限</w:t>
            </w:r>
          </w:p>
        </w:tc>
        <w:tc>
          <w:tcPr>
            <w:tcW w:w="49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不限</w:t>
            </w:r>
          </w:p>
        </w:tc>
        <w:tc>
          <w:tcPr>
            <w:tcW w:w="481"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3000</w:t>
            </w:r>
          </w:p>
        </w:tc>
        <w:tc>
          <w:tcPr>
            <w:tcW w:w="518"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不限</w:t>
            </w:r>
          </w:p>
        </w:tc>
        <w:tc>
          <w:tcPr>
            <w:tcW w:w="509"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1500</w:t>
            </w:r>
          </w:p>
        </w:tc>
        <w:tc>
          <w:tcPr>
            <w:tcW w:w="572"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4800/1200</w:t>
            </w:r>
          </w:p>
        </w:tc>
        <w:tc>
          <w:tcPr>
            <w:tcW w:w="709"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rPr>
              <w:t>309包装材料仓库</w:t>
            </w:r>
          </w:p>
        </w:tc>
        <w:tc>
          <w:tcPr>
            <w:tcW w:w="261"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sz w:val="18"/>
                <w:szCs w:val="18"/>
                <w:lang w:val="en-US" w:eastAsia="zh-CN"/>
              </w:rPr>
            </w:pPr>
            <w:r>
              <w:rPr>
                <w:rFonts w:hint="default" w:ascii="Times New Roman" w:hAnsi="Times New Roman" w:cs="Times New Roman"/>
                <w:sz w:val="18"/>
                <w:szCs w:val="18"/>
              </w:rPr>
              <w:t>丙类</w:t>
            </w:r>
          </w:p>
        </w:tc>
        <w:tc>
          <w:tcPr>
            <w:tcW w:w="211"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框架</w:t>
            </w:r>
          </w:p>
        </w:tc>
        <w:tc>
          <w:tcPr>
            <w:tcW w:w="196"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1</w:t>
            </w:r>
          </w:p>
        </w:tc>
        <w:tc>
          <w:tcPr>
            <w:tcW w:w="407"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lang w:val="en-US" w:eastAsia="zh-CN"/>
              </w:rPr>
              <w:t>64</w:t>
            </w:r>
          </w:p>
        </w:tc>
        <w:tc>
          <w:tcPr>
            <w:tcW w:w="418"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lang w:val="en-US" w:eastAsia="zh-CN"/>
              </w:rPr>
              <w:t>64</w:t>
            </w:r>
          </w:p>
        </w:tc>
        <w:tc>
          <w:tcPr>
            <w:tcW w:w="258"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二级</w:t>
            </w:r>
          </w:p>
        </w:tc>
        <w:tc>
          <w:tcPr>
            <w:tcW w:w="622"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《建筑设计防火规范》GB50016-2014第3.3.2条</w:t>
            </w:r>
          </w:p>
        </w:tc>
        <w:tc>
          <w:tcPr>
            <w:tcW w:w="242"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二级</w:t>
            </w:r>
          </w:p>
        </w:tc>
        <w:tc>
          <w:tcPr>
            <w:tcW w:w="293"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5</w:t>
            </w:r>
          </w:p>
        </w:tc>
        <w:tc>
          <w:tcPr>
            <w:tcW w:w="263"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4000</w:t>
            </w:r>
          </w:p>
        </w:tc>
        <w:tc>
          <w:tcPr>
            <w:tcW w:w="259"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1000</w:t>
            </w:r>
          </w:p>
        </w:tc>
        <w:tc>
          <w:tcPr>
            <w:tcW w:w="279"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2800</w:t>
            </w:r>
          </w:p>
        </w:tc>
        <w:tc>
          <w:tcPr>
            <w:tcW w:w="274"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700</w:t>
            </w:r>
          </w:p>
        </w:tc>
        <w:tc>
          <w:tcPr>
            <w:tcW w:w="308"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w:t>
            </w:r>
          </w:p>
        </w:tc>
        <w:tc>
          <w:tcPr>
            <w:tcW w:w="381" w:type="pct"/>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符合要求</w:t>
            </w:r>
          </w:p>
        </w:tc>
      </w:tr>
    </w:tbl>
    <w:p>
      <w:pPr>
        <w:pStyle w:val="4"/>
        <w:rPr>
          <w:rFonts w:hint="default" w:ascii="Times New Roman" w:hAnsi="Times New Roman" w:cs="Times New Roman"/>
        </w:rPr>
      </w:pPr>
      <w:bookmarkStart w:id="38" w:name="_Toc15859"/>
      <w:r>
        <w:rPr>
          <w:rFonts w:hint="default" w:ascii="Times New Roman" w:hAnsi="Times New Roman" w:cs="Times New Roman"/>
        </w:rPr>
        <w:t>2.</w:t>
      </w:r>
      <w:r>
        <w:rPr>
          <w:rFonts w:hint="default" w:ascii="Times New Roman" w:hAnsi="Times New Roman" w:cs="Times New Roman"/>
          <w:lang w:val="en-US" w:eastAsia="zh-CN"/>
        </w:rPr>
        <w:t>6</w:t>
      </w:r>
      <w:r>
        <w:rPr>
          <w:rFonts w:hint="default" w:ascii="Times New Roman" w:hAnsi="Times New Roman" w:cs="Times New Roman"/>
        </w:rPr>
        <w:t>安全管理</w:t>
      </w:r>
      <w:bookmarkEnd w:id="38"/>
    </w:p>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6</w:t>
      </w:r>
      <w:r>
        <w:rPr>
          <w:rFonts w:hint="default" w:ascii="Times New Roman" w:hAnsi="Times New Roman" w:cs="Times New Roman"/>
        </w:rPr>
        <w:t>.1安全管理机构</w:t>
      </w:r>
      <w:bookmarkStart w:id="39" w:name="_Toc24782"/>
      <w:bookmarkStart w:id="40" w:name="_Toc120326639"/>
    </w:p>
    <w:bookmarkEnd w:id="39"/>
    <w:p>
      <w:pPr>
        <w:ind w:firstLine="560" w:firstLineChars="200"/>
        <w:rPr>
          <w:rFonts w:hint="default" w:ascii="Times New Roman" w:hAnsi="Times New Roman" w:cs="Times New Roman"/>
          <w:lang w:eastAsia="zh-CN"/>
        </w:rPr>
      </w:pPr>
      <w:r>
        <w:rPr>
          <w:rFonts w:hint="default" w:ascii="Times New Roman" w:hAnsi="Times New Roman" w:cs="Times New Roman"/>
        </w:rPr>
        <w:t>该公司成立了</w:t>
      </w:r>
      <w:r>
        <w:rPr>
          <w:rFonts w:hint="eastAsia" w:cs="Times New Roman"/>
          <w:lang w:eastAsia="zh-CN"/>
        </w:rPr>
        <w:t>安全部</w:t>
      </w:r>
      <w:r>
        <w:rPr>
          <w:rFonts w:hint="default" w:ascii="Times New Roman" w:hAnsi="Times New Roman" w:cs="Times New Roman"/>
        </w:rPr>
        <w:t>，并设立了</w:t>
      </w:r>
      <w:r>
        <w:rPr>
          <w:rFonts w:hint="default" w:ascii="Times New Roman" w:hAnsi="Times New Roman" w:cs="Times New Roman"/>
          <w:lang w:eastAsia="zh-CN"/>
        </w:rPr>
        <w:t>安全生产委员会</w:t>
      </w:r>
      <w:r>
        <w:rPr>
          <w:rFonts w:hint="default" w:ascii="Times New Roman" w:hAnsi="Times New Roman" w:cs="Times New Roman"/>
        </w:rPr>
        <w:t>，任命孔永明为组长，企业配备了专职安全生产管理人员1名（刘汉生）。</w:t>
      </w:r>
    </w:p>
    <w:p>
      <w:pPr>
        <w:ind w:firstLine="560" w:firstLineChars="200"/>
        <w:rPr>
          <w:rFonts w:hint="default" w:ascii="Times New Roman" w:hAnsi="Times New Roman" w:cs="Times New Roman"/>
        </w:rPr>
      </w:pPr>
      <w:r>
        <w:rPr>
          <w:rFonts w:hint="default" w:ascii="Times New Roman" w:hAnsi="Times New Roman" w:cs="Times New Roman"/>
          <w:lang w:eastAsia="zh-CN"/>
        </w:rPr>
        <w:t>该公司主要负责人、安全管理人员均已</w:t>
      </w:r>
      <w:r>
        <w:rPr>
          <w:rFonts w:hint="default" w:ascii="Times New Roman" w:hAnsi="Times New Roman" w:cs="Times New Roman"/>
        </w:rPr>
        <w:t>取得安全管理合格证。</w:t>
      </w:r>
    </w:p>
    <w:p>
      <w:pPr>
        <w:ind w:firstLine="560" w:firstLineChars="200"/>
        <w:rPr>
          <w:rFonts w:hint="default" w:ascii="Times New Roman" w:hAnsi="Times New Roman" w:cs="Times New Roman"/>
        </w:rPr>
      </w:pPr>
      <w:r>
        <w:rPr>
          <w:rFonts w:hint="default" w:ascii="Times New Roman" w:hAnsi="Times New Roman" w:cs="Times New Roman"/>
        </w:rPr>
        <w:t>安全生产主要责任人的划分：公司总经理是公司安全生产的第一责任人，对本公司安全生产工作负全面责任。分管安全的主要负责人及专（兼）职安全员是本单位安全生产的主要责任人。</w:t>
      </w:r>
    </w:p>
    <w:p>
      <w:pPr>
        <w:ind w:firstLine="560" w:firstLineChars="200"/>
        <w:rPr>
          <w:rFonts w:hint="default" w:ascii="Times New Roman" w:hAnsi="Times New Roman" w:cs="Times New Roman"/>
        </w:rPr>
      </w:pPr>
      <w:r>
        <w:rPr>
          <w:rFonts w:hint="default" w:ascii="Times New Roman" w:hAnsi="Times New Roman" w:cs="Times New Roman"/>
        </w:rPr>
        <w:t>专职安全员：</w:t>
      </w:r>
      <w:r>
        <w:rPr>
          <w:rFonts w:hint="default" w:ascii="Times New Roman" w:hAnsi="Times New Roman" w:cs="Times New Roman"/>
          <w:lang w:eastAsia="zh-CN"/>
        </w:rPr>
        <w:t>上饶市广氟医药化工有限公司</w:t>
      </w:r>
      <w:r>
        <w:rPr>
          <w:rFonts w:hint="default" w:ascii="Times New Roman" w:hAnsi="Times New Roman" w:cs="Times New Roman"/>
        </w:rPr>
        <w:t>配有</w:t>
      </w:r>
      <w:r>
        <w:rPr>
          <w:rFonts w:hint="eastAsia" w:cs="Times New Roman"/>
          <w:lang w:val="en-US" w:eastAsia="zh-CN"/>
        </w:rPr>
        <w:t>1名</w:t>
      </w:r>
      <w:r>
        <w:rPr>
          <w:rFonts w:hint="default" w:ascii="Times New Roman" w:hAnsi="Times New Roman" w:cs="Times New Roman"/>
        </w:rPr>
        <w:t>专职安全员。</w:t>
      </w:r>
    </w:p>
    <w:p>
      <w:pPr>
        <w:ind w:firstLine="560" w:firstLineChars="200"/>
        <w:rPr>
          <w:rFonts w:hint="default" w:ascii="Times New Roman" w:hAnsi="Times New Roman" w:cs="Times New Roman"/>
        </w:rPr>
      </w:pPr>
      <w:r>
        <w:rPr>
          <w:rFonts w:hint="default" w:ascii="Times New Roman" w:hAnsi="Times New Roman" w:cs="Times New Roman"/>
        </w:rPr>
        <w:t>公司安全负责人、安全管理人员共</w:t>
      </w:r>
      <w:r>
        <w:rPr>
          <w:rFonts w:hint="default" w:ascii="Times New Roman" w:hAnsi="Times New Roman" w:cs="Times New Roman"/>
          <w:lang w:val="en-US" w:eastAsia="zh-CN"/>
        </w:rPr>
        <w:t>2</w:t>
      </w:r>
      <w:r>
        <w:rPr>
          <w:rFonts w:hint="default" w:ascii="Times New Roman" w:hAnsi="Times New Roman" w:cs="Times New Roman"/>
        </w:rPr>
        <w:t>人经过江西省应急管理厅培训、考核，并取得相应的资格证书，相关证书详见附件。</w:t>
      </w:r>
    </w:p>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6</w:t>
      </w:r>
      <w:r>
        <w:rPr>
          <w:rFonts w:hint="default" w:ascii="Times New Roman" w:hAnsi="Times New Roman" w:cs="Times New Roman"/>
        </w:rPr>
        <w:t>.2工厂组织与劳</w:t>
      </w:r>
      <w:bookmarkEnd w:id="40"/>
      <w:bookmarkStart w:id="41" w:name="_Toc387384628"/>
      <w:bookmarkStart w:id="42" w:name="_Toc403419779"/>
      <w:bookmarkStart w:id="43" w:name="_Toc6160"/>
      <w:bookmarkStart w:id="44" w:name="_Toc367461760"/>
      <w:bookmarkStart w:id="45" w:name="_Toc397611859"/>
      <w:bookmarkStart w:id="46" w:name="_Toc399134788"/>
      <w:r>
        <w:rPr>
          <w:rFonts w:hint="default" w:ascii="Times New Roman" w:hAnsi="Times New Roman" w:cs="Times New Roman"/>
        </w:rPr>
        <w:t>动定员</w:t>
      </w:r>
    </w:p>
    <w:p>
      <w:pPr>
        <w:ind w:firstLine="560" w:firstLineChars="200"/>
        <w:rPr>
          <w:rFonts w:hint="default" w:ascii="Times New Roman" w:hAnsi="Times New Roman" w:cs="Times New Roman"/>
        </w:rPr>
      </w:pPr>
      <w:r>
        <w:rPr>
          <w:rFonts w:hint="default" w:ascii="Times New Roman" w:hAnsi="Times New Roman" w:cs="Times New Roman"/>
        </w:rPr>
        <w:t>1</w:t>
      </w:r>
      <w:bookmarkStart w:id="47" w:name="_Toc259612817"/>
      <w:bookmarkStart w:id="48" w:name="_Toc274377557"/>
      <w:r>
        <w:rPr>
          <w:rFonts w:hint="default" w:ascii="Times New Roman" w:hAnsi="Times New Roman" w:cs="Times New Roman"/>
        </w:rPr>
        <w:t>、管理组织</w:t>
      </w:r>
    </w:p>
    <w:p>
      <w:pPr>
        <w:ind w:firstLine="560" w:firstLineChars="200"/>
        <w:rPr>
          <w:rFonts w:hint="default" w:ascii="Times New Roman" w:hAnsi="Times New Roman" w:cs="Times New Roman"/>
        </w:rPr>
      </w:pPr>
      <w:r>
        <w:rPr>
          <w:rFonts w:hint="default" w:ascii="Times New Roman" w:hAnsi="Times New Roman" w:cs="Times New Roman"/>
        </w:rPr>
        <w:t>企业</w:t>
      </w:r>
      <w:bookmarkEnd w:id="41"/>
      <w:bookmarkEnd w:id="42"/>
      <w:bookmarkEnd w:id="43"/>
      <w:bookmarkEnd w:id="44"/>
      <w:bookmarkEnd w:id="45"/>
      <w:bookmarkEnd w:id="46"/>
      <w:bookmarkEnd w:id="47"/>
      <w:bookmarkEnd w:id="48"/>
      <w:r>
        <w:rPr>
          <w:rFonts w:hint="default" w:ascii="Times New Roman" w:hAnsi="Times New Roman" w:cs="Times New Roman"/>
        </w:rPr>
        <w:t>下设生产质管部</w:t>
      </w:r>
      <w:r>
        <w:rPr>
          <w:rFonts w:hint="default" w:ascii="Times New Roman" w:hAnsi="Times New Roman" w:cs="Times New Roman"/>
          <w:lang w:eastAsia="zh-CN"/>
        </w:rPr>
        <w:t>、供销部、财务部、</w:t>
      </w:r>
      <w:r>
        <w:rPr>
          <w:rFonts w:hint="eastAsia" w:cs="Times New Roman"/>
          <w:lang w:val="en-US" w:eastAsia="zh-CN"/>
        </w:rPr>
        <w:t>安全部</w:t>
      </w:r>
      <w:r>
        <w:rPr>
          <w:rFonts w:hint="default" w:ascii="Times New Roman" w:hAnsi="Times New Roman" w:cs="Times New Roman"/>
        </w:rPr>
        <w:t>等。</w:t>
      </w:r>
    </w:p>
    <w:p>
      <w:pPr>
        <w:ind w:firstLine="560" w:firstLineChars="200"/>
        <w:rPr>
          <w:rFonts w:hint="default" w:ascii="Times New Roman" w:hAnsi="Times New Roman" w:cs="Times New Roman"/>
        </w:rPr>
      </w:pPr>
      <w:r>
        <w:rPr>
          <w:rFonts w:hint="default" w:ascii="Times New Roman" w:hAnsi="Times New Roman" w:cs="Times New Roman"/>
        </w:rPr>
        <w:t>2、生产班制</w:t>
      </w:r>
    </w:p>
    <w:p>
      <w:pPr>
        <w:ind w:firstLine="560" w:firstLineChars="200"/>
        <w:rPr>
          <w:rFonts w:hint="default" w:ascii="Times New Roman" w:hAnsi="Times New Roman" w:cs="Times New Roman"/>
        </w:rPr>
      </w:pPr>
      <w:r>
        <w:rPr>
          <w:rFonts w:hint="default" w:ascii="Times New Roman" w:hAnsi="Times New Roman" w:cs="Times New Roman"/>
        </w:rPr>
        <w:t>江西省上饶市广氟医药化工有限公司现有人员30人，其中管理和技术人员2人，生产及辅助生产28人。特种作业人员</w:t>
      </w:r>
      <w:r>
        <w:rPr>
          <w:rFonts w:hint="default" w:ascii="Times New Roman" w:hAnsi="Times New Roman" w:cs="Times New Roman"/>
          <w:lang w:val="en-US" w:eastAsia="zh-CN"/>
        </w:rPr>
        <w:t>3</w:t>
      </w:r>
      <w:r>
        <w:rPr>
          <w:rFonts w:hint="default" w:ascii="Times New Roman" w:hAnsi="Times New Roman" w:cs="Times New Roman"/>
        </w:rPr>
        <w:t>人，其中</w:t>
      </w:r>
      <w:r>
        <w:rPr>
          <w:rFonts w:hint="eastAsia" w:cs="Times New Roman"/>
          <w:lang w:eastAsia="zh-CN"/>
        </w:rPr>
        <w:t>电工3人</w:t>
      </w:r>
      <w:r>
        <w:rPr>
          <w:rFonts w:hint="default" w:ascii="Times New Roman" w:hAnsi="Times New Roman" w:cs="Times New Roman"/>
        </w:rPr>
        <w:t>、电焊工1人、叉车司机</w:t>
      </w:r>
      <w:r>
        <w:rPr>
          <w:rFonts w:hint="default" w:ascii="Times New Roman" w:hAnsi="Times New Roman" w:cs="Times New Roman"/>
          <w:lang w:val="en-US" w:eastAsia="zh-CN"/>
        </w:rPr>
        <w:t>2</w:t>
      </w:r>
      <w:r>
        <w:rPr>
          <w:rFonts w:hint="default" w:ascii="Times New Roman" w:hAnsi="Times New Roman" w:cs="Times New Roman"/>
        </w:rPr>
        <w:t>人。生产岗位按</w:t>
      </w:r>
      <w:r>
        <w:rPr>
          <w:rFonts w:hint="eastAsia" w:cs="Times New Roman"/>
          <w:lang w:val="en-US" w:eastAsia="zh-CN"/>
        </w:rPr>
        <w:t>常白班</w:t>
      </w:r>
      <w:r>
        <w:rPr>
          <w:rFonts w:hint="default" w:ascii="Times New Roman" w:hAnsi="Times New Roman" w:cs="Times New Roman"/>
        </w:rPr>
        <w:t>制，管理部门采用间断工作制，每天1班，每班8小时。</w:t>
      </w:r>
    </w:p>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6</w:t>
      </w:r>
      <w:r>
        <w:rPr>
          <w:rFonts w:hint="default" w:ascii="Times New Roman" w:hAnsi="Times New Roman" w:cs="Times New Roman"/>
        </w:rPr>
        <w:t>.3人员培训</w:t>
      </w:r>
    </w:p>
    <w:p>
      <w:pPr>
        <w:ind w:firstLine="560" w:firstLineChars="200"/>
        <w:rPr>
          <w:rFonts w:hint="default" w:ascii="Times New Roman" w:hAnsi="Times New Roman" w:eastAsia="宋体" w:cs="Times New Roman"/>
          <w:lang w:val="en-US" w:eastAsia="zh-CN"/>
        </w:rPr>
      </w:pPr>
      <w:bookmarkStart w:id="49" w:name="_Toc120326641"/>
      <w:r>
        <w:rPr>
          <w:rFonts w:hint="default" w:ascii="Times New Roman" w:hAnsi="Times New Roman" w:cs="Times New Roman"/>
        </w:rPr>
        <w:t>公司主要负责人和安全管理人员共</w:t>
      </w:r>
      <w:r>
        <w:rPr>
          <w:rFonts w:hint="default" w:ascii="Times New Roman" w:hAnsi="Times New Roman" w:cs="Times New Roman"/>
          <w:lang w:val="en-US" w:eastAsia="zh-CN"/>
        </w:rPr>
        <w:t>2</w:t>
      </w:r>
      <w:r>
        <w:rPr>
          <w:rFonts w:hint="default" w:ascii="Times New Roman" w:hAnsi="Times New Roman" w:cs="Times New Roman"/>
        </w:rPr>
        <w:t>人经过江西省应急管理厅组织的危险化学品安全管理培训并经考试合格取得合格证书。特种作业人员（</w:t>
      </w:r>
      <w:r>
        <w:rPr>
          <w:rFonts w:hint="eastAsia" w:cs="Times New Roman"/>
          <w:lang w:eastAsia="zh-CN"/>
        </w:rPr>
        <w:t>电工3人</w:t>
      </w:r>
      <w:r>
        <w:rPr>
          <w:rFonts w:hint="default" w:ascii="Times New Roman" w:hAnsi="Times New Roman" w:cs="Times New Roman"/>
        </w:rPr>
        <w:t>、电焊工1人、叉车司机</w:t>
      </w:r>
      <w:r>
        <w:rPr>
          <w:rFonts w:hint="default" w:ascii="Times New Roman" w:hAnsi="Times New Roman" w:cs="Times New Roman"/>
          <w:lang w:val="en-US" w:eastAsia="zh-CN"/>
        </w:rPr>
        <w:t>2</w:t>
      </w:r>
      <w:r>
        <w:rPr>
          <w:rFonts w:hint="default" w:ascii="Times New Roman" w:hAnsi="Times New Roman" w:cs="Times New Roman"/>
        </w:rPr>
        <w:t>人）经相关部门培训考核合格，并取得了特种作业人员合格证书。主要负责人</w:t>
      </w:r>
      <w:r>
        <w:rPr>
          <w:rFonts w:hint="default" w:ascii="Times New Roman" w:hAnsi="Times New Roman" w:cs="Times New Roman"/>
          <w:lang w:eastAsia="zh-CN"/>
        </w:rPr>
        <w:t>孔永明</w:t>
      </w:r>
      <w:r>
        <w:rPr>
          <w:rFonts w:hint="default" w:ascii="Times New Roman" w:hAnsi="Times New Roman" w:cs="Times New Roman"/>
        </w:rPr>
        <w:t>（</w:t>
      </w:r>
      <w:r>
        <w:rPr>
          <w:rFonts w:hint="default" w:ascii="Times New Roman" w:hAnsi="Times New Roman" w:cs="Times New Roman"/>
          <w:lang w:val="en-US" w:eastAsia="zh-CN"/>
        </w:rPr>
        <w:t>学历提升中，2023年7月31日毕业</w:t>
      </w:r>
      <w:r>
        <w:rPr>
          <w:rFonts w:hint="default" w:ascii="Times New Roman" w:hAnsi="Times New Roman" w:cs="Times New Roman"/>
        </w:rPr>
        <w:t>，</w:t>
      </w:r>
      <w:r>
        <w:rPr>
          <w:rFonts w:hint="default" w:ascii="Times New Roman" w:hAnsi="Times New Roman" w:cs="Times New Roman"/>
          <w:lang w:val="en-US" w:eastAsia="zh-CN"/>
        </w:rPr>
        <w:t>应用化工技术</w:t>
      </w:r>
      <w:r>
        <w:rPr>
          <w:rFonts w:hint="default" w:ascii="Times New Roman" w:hAnsi="Times New Roman" w:cs="Times New Roman"/>
        </w:rPr>
        <w:t>）</w:t>
      </w:r>
      <w:r>
        <w:rPr>
          <w:rFonts w:hint="default" w:ascii="Times New Roman" w:hAnsi="Times New Roman" w:cs="Times New Roman"/>
          <w:lang w:eastAsia="zh-CN"/>
        </w:rPr>
        <w:t>；</w:t>
      </w:r>
      <w:r>
        <w:rPr>
          <w:rFonts w:hint="default" w:ascii="Times New Roman" w:hAnsi="Times New Roman" w:cs="Times New Roman"/>
        </w:rPr>
        <w:t>专职安全管理人员</w:t>
      </w:r>
      <w:r>
        <w:rPr>
          <w:rFonts w:hint="default" w:ascii="Times New Roman" w:hAnsi="Times New Roman" w:cs="Times New Roman"/>
          <w:lang w:val="en-US" w:eastAsia="zh-CN"/>
        </w:rPr>
        <w:t>刘汉生</w:t>
      </w:r>
      <w:r>
        <w:rPr>
          <w:rFonts w:hint="default" w:ascii="Times New Roman" w:hAnsi="Times New Roman" w:cs="Times New Roman"/>
        </w:rPr>
        <w:t>（</w:t>
      </w:r>
      <w:r>
        <w:rPr>
          <w:rFonts w:hint="default" w:ascii="Times New Roman" w:hAnsi="Times New Roman" w:cs="Times New Roman"/>
          <w:lang w:val="en-US" w:eastAsia="zh-CN"/>
        </w:rPr>
        <w:t>本</w:t>
      </w:r>
      <w:r>
        <w:rPr>
          <w:rFonts w:hint="default" w:ascii="Times New Roman" w:hAnsi="Times New Roman" w:cs="Times New Roman"/>
        </w:rPr>
        <w:t>科、</w:t>
      </w:r>
      <w:r>
        <w:rPr>
          <w:rFonts w:hint="default" w:ascii="Times New Roman" w:hAnsi="Times New Roman" w:cs="Times New Roman"/>
          <w:lang w:val="en-US" w:eastAsia="zh-CN"/>
        </w:rPr>
        <w:t>应用化工技术</w:t>
      </w:r>
      <w:r>
        <w:rPr>
          <w:rFonts w:hint="default" w:ascii="Times New Roman" w:hAnsi="Times New Roman" w:cs="Times New Roman"/>
        </w:rPr>
        <w:t>）</w:t>
      </w:r>
      <w:r>
        <w:rPr>
          <w:rFonts w:hint="default" w:ascii="Times New Roman" w:hAnsi="Times New Roman" w:cs="Times New Roman"/>
          <w:lang w:eastAsia="zh-CN"/>
        </w:rPr>
        <w:t>；技术、</w:t>
      </w:r>
      <w:r>
        <w:rPr>
          <w:rFonts w:hint="default" w:ascii="Times New Roman" w:hAnsi="Times New Roman" w:cs="Times New Roman"/>
          <w:lang w:val="en-US" w:eastAsia="zh-CN"/>
        </w:rPr>
        <w:t>设备、生产</w:t>
      </w:r>
      <w:r>
        <w:rPr>
          <w:rFonts w:hint="default" w:ascii="Times New Roman" w:hAnsi="Times New Roman" w:cs="Times New Roman"/>
          <w:lang w:eastAsia="zh-CN"/>
        </w:rPr>
        <w:t>负责人</w:t>
      </w:r>
      <w:r>
        <w:rPr>
          <w:rFonts w:hint="default" w:ascii="Times New Roman" w:hAnsi="Times New Roman" w:cs="Times New Roman"/>
          <w:lang w:val="en-US" w:eastAsia="zh-CN"/>
        </w:rPr>
        <w:t>徐小龙</w:t>
      </w:r>
      <w:r>
        <w:rPr>
          <w:rFonts w:hint="default" w:ascii="Times New Roman" w:hAnsi="Times New Roman" w:cs="Times New Roman"/>
          <w:lang w:eastAsia="zh-CN"/>
        </w:rPr>
        <w:t>（本科，应用化学）</w:t>
      </w:r>
      <w:r>
        <w:rPr>
          <w:rFonts w:hint="default" w:ascii="Times New Roman" w:hAnsi="Times New Roman" w:cs="Times New Roman"/>
        </w:rPr>
        <w:t>具备国民教育化工化学类中等职业教育以上学历。</w:t>
      </w:r>
      <w:r>
        <w:rPr>
          <w:rFonts w:hint="default" w:ascii="Times New Roman" w:hAnsi="Times New Roman" w:cs="Times New Roman"/>
          <w:lang w:val="en-US" w:eastAsia="zh-CN"/>
        </w:rPr>
        <w:t>未配备注册安全工程师，本报告提出整改。</w:t>
      </w:r>
    </w:p>
    <w:p>
      <w:pPr>
        <w:ind w:firstLine="560" w:firstLineChars="200"/>
        <w:rPr>
          <w:rFonts w:hint="default" w:ascii="Times New Roman" w:hAnsi="Times New Roman" w:cs="Times New Roman"/>
        </w:rPr>
      </w:pPr>
      <w:r>
        <w:rPr>
          <w:rFonts w:hint="default" w:ascii="Times New Roman" w:hAnsi="Times New Roman" w:cs="Times New Roman"/>
        </w:rPr>
        <w:t>该公司每年均投入一定资金用于安全设施投入及消防设施的购置、从业人员的安全教育培训和应急预案演练、应急器材的配备等。另外，公司还建有危险化学品档案、特种作业人员档案，对危险化学品加强监控管理，对特种作业人员进行了培训，并持证上岗。</w:t>
      </w:r>
    </w:p>
    <w:p>
      <w:pPr>
        <w:ind w:firstLine="560" w:firstLineChars="200"/>
        <w:rPr>
          <w:rFonts w:hint="default" w:ascii="Times New Roman" w:hAnsi="Times New Roman" w:cs="Times New Roman"/>
        </w:rPr>
      </w:pPr>
      <w:r>
        <w:rPr>
          <w:rFonts w:hint="default" w:ascii="Times New Roman" w:hAnsi="Times New Roman" w:cs="Times New Roman"/>
        </w:rPr>
        <w:t>公司对设备进行经常性的维护、保养，并定期检测，为职工配备了必要的劳动防护用品。对发生的各类大小事故，建立了事故台账，对事故的发生和处理情况进行了记录。</w:t>
      </w:r>
    </w:p>
    <w:p>
      <w:pPr>
        <w:ind w:firstLine="560" w:firstLineChars="200"/>
        <w:rPr>
          <w:rFonts w:hint="default" w:ascii="Times New Roman" w:hAnsi="Times New Roman" w:cs="Times New Roman"/>
        </w:rPr>
      </w:pPr>
      <w:r>
        <w:rPr>
          <w:rFonts w:hint="default" w:ascii="Times New Roman" w:hAnsi="Times New Roman" w:cs="Times New Roman"/>
        </w:rPr>
        <w:t>安全管理人员和特种作业人员取证情况见下表。</w:t>
      </w:r>
    </w:p>
    <w:p>
      <w:pPr>
        <w:jc w:val="center"/>
        <w:rPr>
          <w:rFonts w:hint="default" w:ascii="Times New Roman" w:hAnsi="Times New Roman" w:cs="Times New Roman"/>
        </w:rPr>
      </w:pPr>
      <w:r>
        <w:rPr>
          <w:rFonts w:hint="default" w:ascii="Times New Roman" w:hAnsi="Times New Roman" w:cs="Times New Roman"/>
        </w:rPr>
        <w:t>表2.6.3-1 安全管理人员情况一览表</w:t>
      </w:r>
    </w:p>
    <w:tbl>
      <w:tblPr>
        <w:tblStyle w:val="25"/>
        <w:tblW w:w="4996" w:type="pct"/>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515"/>
        <w:gridCol w:w="899"/>
        <w:gridCol w:w="1544"/>
        <w:gridCol w:w="1750"/>
        <w:gridCol w:w="2116"/>
        <w:gridCol w:w="1169"/>
        <w:gridCol w:w="1288"/>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77" w:type="pct"/>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48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姓名</w:t>
            </w:r>
          </w:p>
        </w:tc>
        <w:tc>
          <w:tcPr>
            <w:tcW w:w="83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类别</w:t>
            </w:r>
          </w:p>
        </w:tc>
        <w:tc>
          <w:tcPr>
            <w:tcW w:w="9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作业项目</w:t>
            </w:r>
          </w:p>
        </w:tc>
        <w:tc>
          <w:tcPr>
            <w:tcW w:w="1139"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证书编号</w:t>
            </w:r>
          </w:p>
        </w:tc>
        <w:tc>
          <w:tcPr>
            <w:tcW w:w="629" w:type="pct"/>
            <w:tcBorders>
              <w:top w:val="single" w:color="000000" w:sz="4" w:space="0"/>
              <w:left w:val="single" w:color="000000" w:sz="4" w:space="0"/>
              <w:bottom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有效期</w:t>
            </w:r>
          </w:p>
        </w:tc>
        <w:tc>
          <w:tcPr>
            <w:tcW w:w="693" w:type="pct"/>
            <w:tcBorders>
              <w:top w:val="single" w:color="000000" w:sz="4" w:space="0"/>
              <w:left w:val="single" w:color="000000" w:sz="4" w:space="0"/>
              <w:bottom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77" w:type="pct"/>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48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孔永明</w:t>
            </w:r>
          </w:p>
        </w:tc>
        <w:tc>
          <w:tcPr>
            <w:tcW w:w="83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主要负责人</w:t>
            </w:r>
          </w:p>
        </w:tc>
        <w:tc>
          <w:tcPr>
            <w:tcW w:w="9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危险化学品生产</w:t>
            </w:r>
          </w:p>
        </w:tc>
        <w:tc>
          <w:tcPr>
            <w:tcW w:w="1139"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330802197301084418</w:t>
            </w:r>
          </w:p>
        </w:tc>
        <w:tc>
          <w:tcPr>
            <w:tcW w:w="629" w:type="pct"/>
            <w:tcBorders>
              <w:top w:val="single" w:color="000000" w:sz="4" w:space="0"/>
              <w:left w:val="single" w:color="000000" w:sz="4" w:space="0"/>
              <w:bottom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2025.0</w:t>
            </w:r>
            <w:r>
              <w:rPr>
                <w:rFonts w:hint="default" w:ascii="Times New Roman" w:hAnsi="Times New Roman" w:cs="Times New Roman"/>
                <w:sz w:val="21"/>
                <w:szCs w:val="21"/>
                <w:lang w:val="en-US" w:eastAsia="zh-CN"/>
              </w:rPr>
              <w:t>7</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13</w:t>
            </w:r>
          </w:p>
        </w:tc>
        <w:tc>
          <w:tcPr>
            <w:tcW w:w="693" w:type="pct"/>
            <w:tcBorders>
              <w:top w:val="single" w:color="000000" w:sz="4" w:space="0"/>
              <w:left w:val="single" w:color="000000" w:sz="4" w:space="0"/>
              <w:bottom w:val="single" w:color="000000" w:sz="4" w:space="0"/>
            </w:tcBorders>
            <w:tcMar>
              <w:top w:w="0" w:type="dxa"/>
              <w:left w:w="108" w:type="dxa"/>
              <w:bottom w:w="0" w:type="dxa"/>
              <w:right w:w="108" w:type="dxa"/>
            </w:tcMar>
            <w:vAlign w:val="center"/>
          </w:tcPr>
          <w:p>
            <w:pPr>
              <w:autoSpaceDN w:val="0"/>
              <w:spacing w:line="240" w:lineRule="auto"/>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77" w:type="pct"/>
            <w:tcBorders>
              <w:top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484"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刘汉生</w:t>
            </w:r>
          </w:p>
        </w:tc>
        <w:tc>
          <w:tcPr>
            <w:tcW w:w="83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安全管理人员</w:t>
            </w:r>
          </w:p>
        </w:tc>
        <w:tc>
          <w:tcPr>
            <w:tcW w:w="9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危险化学品生产</w:t>
            </w:r>
          </w:p>
        </w:tc>
        <w:tc>
          <w:tcPr>
            <w:tcW w:w="1139"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362322197109218151</w:t>
            </w:r>
          </w:p>
        </w:tc>
        <w:tc>
          <w:tcPr>
            <w:tcW w:w="629" w:type="pct"/>
            <w:tcBorders>
              <w:top w:val="single" w:color="000000" w:sz="4" w:space="0"/>
              <w:left w:val="single" w:color="000000" w:sz="4" w:space="0"/>
              <w:bottom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2025.0</w:t>
            </w:r>
            <w:r>
              <w:rPr>
                <w:rFonts w:hint="default" w:ascii="Times New Roman" w:hAnsi="Times New Roman" w:cs="Times New Roman"/>
                <w:sz w:val="21"/>
                <w:szCs w:val="21"/>
                <w:lang w:val="en-US" w:eastAsia="zh-CN"/>
              </w:rPr>
              <w:t>9</w:t>
            </w:r>
            <w:r>
              <w:rPr>
                <w:rFonts w:hint="default" w:ascii="Times New Roman" w:hAnsi="Times New Roman" w:cs="Times New Roman"/>
                <w:sz w:val="21"/>
                <w:szCs w:val="21"/>
              </w:rPr>
              <w:t>.1</w:t>
            </w:r>
            <w:r>
              <w:rPr>
                <w:rFonts w:hint="default" w:ascii="Times New Roman" w:hAnsi="Times New Roman" w:cs="Times New Roman"/>
                <w:sz w:val="21"/>
                <w:szCs w:val="21"/>
                <w:lang w:val="en-US" w:eastAsia="zh-CN"/>
              </w:rPr>
              <w:t>4</w:t>
            </w:r>
          </w:p>
        </w:tc>
        <w:tc>
          <w:tcPr>
            <w:tcW w:w="693" w:type="pct"/>
            <w:tcBorders>
              <w:top w:val="single" w:color="000000" w:sz="4" w:space="0"/>
              <w:left w:val="single" w:color="000000" w:sz="4" w:space="0"/>
              <w:bottom w:val="single" w:color="000000" w:sz="4" w:space="0"/>
            </w:tcBorders>
            <w:tcMar>
              <w:top w:w="0" w:type="dxa"/>
              <w:left w:w="108" w:type="dxa"/>
              <w:bottom w:w="0" w:type="dxa"/>
              <w:right w:w="108" w:type="dxa"/>
            </w:tcMar>
            <w:vAlign w:val="center"/>
          </w:tcPr>
          <w:p>
            <w:pPr>
              <w:autoSpaceDN w:val="0"/>
              <w:spacing w:line="240" w:lineRule="auto"/>
              <w:jc w:val="center"/>
              <w:rPr>
                <w:rFonts w:hint="default" w:ascii="Times New Roman" w:hAnsi="Times New Roman" w:eastAsia="宋体" w:cs="Times New Roman"/>
                <w:sz w:val="21"/>
                <w:szCs w:val="21"/>
                <w:lang w:eastAsia="zh-CN"/>
              </w:rPr>
            </w:pPr>
          </w:p>
        </w:tc>
      </w:tr>
    </w:tbl>
    <w:p>
      <w:pPr>
        <w:jc w:val="center"/>
        <w:rPr>
          <w:rFonts w:hint="default" w:ascii="Times New Roman" w:hAnsi="Times New Roman" w:cs="Times New Roman"/>
        </w:rPr>
      </w:pPr>
      <w:r>
        <w:rPr>
          <w:rFonts w:hint="default" w:ascii="Times New Roman" w:hAnsi="Times New Roman" w:cs="Times New Roman"/>
        </w:rPr>
        <w:t>表2.</w:t>
      </w:r>
      <w:r>
        <w:rPr>
          <w:rFonts w:hint="default" w:ascii="Times New Roman" w:hAnsi="Times New Roman" w:cs="Times New Roman"/>
          <w:lang w:val="en-US" w:eastAsia="zh-CN"/>
        </w:rPr>
        <w:t>7</w:t>
      </w:r>
      <w:r>
        <w:rPr>
          <w:rFonts w:hint="default" w:ascii="Times New Roman" w:hAnsi="Times New Roman" w:cs="Times New Roman"/>
        </w:rPr>
        <w:t>.3-2 特种作业人员统计表</w:t>
      </w:r>
    </w:p>
    <w:tbl>
      <w:tblPr>
        <w:tblStyle w:val="25"/>
        <w:tblW w:w="4996"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93"/>
        <w:gridCol w:w="2619"/>
        <w:gridCol w:w="2602"/>
        <w:gridCol w:w="2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pPr>
              <w:widowControl/>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rPr>
              <w:t>序号</w:t>
            </w:r>
          </w:p>
        </w:tc>
        <w:tc>
          <w:tcPr>
            <w:tcW w:w="696" w:type="pct"/>
            <w:vAlign w:val="center"/>
          </w:tcPr>
          <w:p>
            <w:pPr>
              <w:widowControl/>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rPr>
              <w:t>姓名</w:t>
            </w:r>
          </w:p>
        </w:tc>
        <w:tc>
          <w:tcPr>
            <w:tcW w:w="1410" w:type="pct"/>
            <w:vAlign w:val="center"/>
          </w:tcPr>
          <w:p>
            <w:pPr>
              <w:widowControl/>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rPr>
              <w:t>证书编号</w:t>
            </w:r>
          </w:p>
        </w:tc>
        <w:tc>
          <w:tcPr>
            <w:tcW w:w="1401" w:type="pct"/>
            <w:vAlign w:val="center"/>
          </w:tcPr>
          <w:p>
            <w:pPr>
              <w:widowControl/>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rPr>
              <w:t>作业种类</w:t>
            </w:r>
          </w:p>
        </w:tc>
        <w:tc>
          <w:tcPr>
            <w:tcW w:w="1083" w:type="pct"/>
            <w:vAlign w:val="center"/>
          </w:tcPr>
          <w:p>
            <w:pPr>
              <w:widowControl/>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pPr>
              <w:widowControl/>
              <w:spacing w:line="240" w:lineRule="auto"/>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w:t>
            </w:r>
          </w:p>
        </w:tc>
        <w:tc>
          <w:tcPr>
            <w:tcW w:w="696" w:type="pct"/>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陈云海</w:t>
            </w:r>
          </w:p>
        </w:tc>
        <w:tc>
          <w:tcPr>
            <w:tcW w:w="1410" w:type="pct"/>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T362322197009060318</w:t>
            </w:r>
          </w:p>
        </w:tc>
        <w:tc>
          <w:tcPr>
            <w:tcW w:w="1401" w:type="pct"/>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低压电工</w:t>
            </w:r>
          </w:p>
        </w:tc>
        <w:tc>
          <w:tcPr>
            <w:tcW w:w="1083" w:type="pct"/>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2026.06.14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pPr>
              <w:widowControl/>
              <w:spacing w:line="240" w:lineRule="auto"/>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2</w:t>
            </w:r>
          </w:p>
        </w:tc>
        <w:tc>
          <w:tcPr>
            <w:tcW w:w="696" w:type="pct"/>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卞魏</w:t>
            </w:r>
          </w:p>
        </w:tc>
        <w:tc>
          <w:tcPr>
            <w:tcW w:w="1410" w:type="pct"/>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T432302196701161930</w:t>
            </w:r>
          </w:p>
        </w:tc>
        <w:tc>
          <w:tcPr>
            <w:tcW w:w="1401" w:type="pct"/>
            <w:vAlign w:val="center"/>
          </w:tcPr>
          <w:p>
            <w:pPr>
              <w:widowControl/>
              <w:spacing w:line="240" w:lineRule="auto"/>
              <w:jc w:val="center"/>
              <w:textAlignment w:val="center"/>
              <w:rPr>
                <w:rFonts w:hint="default" w:ascii="Times New Roman" w:hAnsi="Times New Roman" w:cs="Times New Roman"/>
                <w:color w:val="000000"/>
                <w:kern w:val="0"/>
                <w:sz w:val="21"/>
                <w:szCs w:val="21"/>
                <w:lang w:val="en-US"/>
              </w:rPr>
            </w:pPr>
            <w:r>
              <w:rPr>
                <w:rFonts w:hint="default" w:ascii="Times New Roman" w:hAnsi="Times New Roman" w:cs="Times New Roman"/>
                <w:color w:val="000000"/>
                <w:kern w:val="0"/>
                <w:sz w:val="21"/>
                <w:szCs w:val="21"/>
                <w:lang w:val="en-US" w:eastAsia="zh-CN"/>
              </w:rPr>
              <w:t>焊接与热切割</w:t>
            </w:r>
          </w:p>
        </w:tc>
        <w:tc>
          <w:tcPr>
            <w:tcW w:w="1083" w:type="pct"/>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2026.11.29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pPr>
              <w:widowControl/>
              <w:spacing w:line="240" w:lineRule="auto"/>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3</w:t>
            </w:r>
          </w:p>
        </w:tc>
        <w:tc>
          <w:tcPr>
            <w:tcW w:w="696" w:type="pct"/>
            <w:vAlign w:val="center"/>
          </w:tcPr>
          <w:p>
            <w:pPr>
              <w:widowControl/>
              <w:spacing w:line="240" w:lineRule="auto"/>
              <w:jc w:val="center"/>
              <w:textAlignment w:val="center"/>
              <w:rPr>
                <w:rFonts w:hint="default" w:ascii="Times New Roman" w:hAnsi="Times New Roman" w:cs="Times New Roman"/>
                <w:color w:val="000000"/>
                <w:kern w:val="0"/>
                <w:sz w:val="21"/>
                <w:szCs w:val="21"/>
                <w:lang w:eastAsia="zh-CN"/>
              </w:rPr>
            </w:pPr>
            <w:r>
              <w:rPr>
                <w:rFonts w:hint="default" w:ascii="Times New Roman" w:hAnsi="Times New Roman" w:cs="Times New Roman"/>
                <w:color w:val="000000"/>
                <w:kern w:val="0"/>
                <w:sz w:val="21"/>
                <w:szCs w:val="21"/>
                <w:lang w:eastAsia="zh-CN"/>
              </w:rPr>
              <w:t>卞魏</w:t>
            </w:r>
          </w:p>
        </w:tc>
        <w:tc>
          <w:tcPr>
            <w:tcW w:w="1410" w:type="pct"/>
            <w:vAlign w:val="center"/>
          </w:tcPr>
          <w:p>
            <w:pPr>
              <w:widowControl/>
              <w:spacing w:line="240" w:lineRule="auto"/>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432302196701161930</w:t>
            </w:r>
          </w:p>
        </w:tc>
        <w:tc>
          <w:tcPr>
            <w:tcW w:w="1401" w:type="pct"/>
            <w:vAlign w:val="center"/>
          </w:tcPr>
          <w:p>
            <w:pPr>
              <w:widowControl/>
              <w:spacing w:line="240" w:lineRule="auto"/>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N1</w:t>
            </w:r>
          </w:p>
        </w:tc>
        <w:tc>
          <w:tcPr>
            <w:tcW w:w="1083" w:type="pct"/>
            <w:vAlign w:val="center"/>
          </w:tcPr>
          <w:p>
            <w:pPr>
              <w:widowControl/>
              <w:spacing w:line="240" w:lineRule="auto"/>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2024.08.05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pPr>
              <w:widowControl/>
              <w:spacing w:line="240" w:lineRule="auto"/>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4</w:t>
            </w:r>
          </w:p>
        </w:tc>
        <w:tc>
          <w:tcPr>
            <w:tcW w:w="696" w:type="pct"/>
            <w:vAlign w:val="center"/>
          </w:tcPr>
          <w:p>
            <w:pPr>
              <w:widowControl/>
              <w:spacing w:line="240" w:lineRule="auto"/>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曹开传</w:t>
            </w:r>
          </w:p>
        </w:tc>
        <w:tc>
          <w:tcPr>
            <w:tcW w:w="1410" w:type="pct"/>
            <w:vAlign w:val="center"/>
          </w:tcPr>
          <w:p>
            <w:pPr>
              <w:widowControl/>
              <w:spacing w:line="240" w:lineRule="auto"/>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330722197201191910</w:t>
            </w:r>
          </w:p>
        </w:tc>
        <w:tc>
          <w:tcPr>
            <w:tcW w:w="1401" w:type="pct"/>
            <w:vAlign w:val="center"/>
          </w:tcPr>
          <w:p>
            <w:pPr>
              <w:widowControl/>
              <w:spacing w:line="240" w:lineRule="auto"/>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N1</w:t>
            </w:r>
          </w:p>
        </w:tc>
        <w:tc>
          <w:tcPr>
            <w:tcW w:w="1083" w:type="pct"/>
            <w:vAlign w:val="center"/>
          </w:tcPr>
          <w:p>
            <w:pPr>
              <w:widowControl/>
              <w:spacing w:line="240" w:lineRule="auto"/>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2027.05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pPr>
              <w:widowControl/>
              <w:spacing w:line="240" w:lineRule="auto"/>
              <w:jc w:val="center"/>
              <w:textAlignment w:val="center"/>
              <w:rPr>
                <w:rFonts w:hint="default" w:ascii="Times New Roman" w:hAnsi="Times New Roman" w:cs="Times New Roman"/>
                <w:color w:val="000000"/>
                <w:kern w:val="0"/>
                <w:sz w:val="21"/>
                <w:szCs w:val="21"/>
                <w:lang w:val="en-US" w:eastAsia="zh-CN"/>
              </w:rPr>
            </w:pPr>
            <w:r>
              <w:rPr>
                <w:rFonts w:hint="eastAsia" w:cs="Times New Roman"/>
                <w:color w:val="000000"/>
                <w:kern w:val="0"/>
                <w:sz w:val="21"/>
                <w:szCs w:val="21"/>
                <w:lang w:val="en-US" w:eastAsia="zh-CN"/>
              </w:rPr>
              <w:t>5</w:t>
            </w:r>
          </w:p>
        </w:tc>
        <w:tc>
          <w:tcPr>
            <w:tcW w:w="696" w:type="pct"/>
            <w:vAlign w:val="center"/>
          </w:tcPr>
          <w:p>
            <w:pPr>
              <w:widowControl/>
              <w:spacing w:line="240" w:lineRule="auto"/>
              <w:jc w:val="center"/>
              <w:textAlignment w:val="center"/>
              <w:rPr>
                <w:rFonts w:hint="default" w:ascii="Times New Roman" w:hAnsi="Times New Roman" w:cs="Times New Roman"/>
                <w:color w:val="000000"/>
                <w:kern w:val="0"/>
                <w:sz w:val="21"/>
                <w:szCs w:val="21"/>
                <w:lang w:val="en-US" w:eastAsia="zh-CN"/>
              </w:rPr>
            </w:pPr>
            <w:r>
              <w:rPr>
                <w:rFonts w:hint="eastAsia" w:cs="Times New Roman"/>
                <w:color w:val="000000"/>
                <w:kern w:val="0"/>
                <w:sz w:val="21"/>
                <w:szCs w:val="21"/>
                <w:lang w:val="en-US" w:eastAsia="zh-CN"/>
              </w:rPr>
              <w:t>黄朝晖</w:t>
            </w:r>
          </w:p>
        </w:tc>
        <w:tc>
          <w:tcPr>
            <w:tcW w:w="1410" w:type="pct"/>
            <w:vAlign w:val="center"/>
          </w:tcPr>
          <w:p>
            <w:pPr>
              <w:widowControl/>
              <w:spacing w:line="240" w:lineRule="auto"/>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T36</w:t>
            </w:r>
            <w:r>
              <w:rPr>
                <w:rFonts w:hint="eastAsia" w:cs="Times New Roman"/>
                <w:color w:val="000000"/>
                <w:kern w:val="0"/>
                <w:sz w:val="21"/>
                <w:szCs w:val="21"/>
                <w:lang w:val="en-US" w:eastAsia="zh-CN"/>
              </w:rPr>
              <w:t>028119730110291X</w:t>
            </w:r>
          </w:p>
        </w:tc>
        <w:tc>
          <w:tcPr>
            <w:tcW w:w="1401" w:type="pct"/>
            <w:vAlign w:val="center"/>
          </w:tcPr>
          <w:p>
            <w:pPr>
              <w:widowControl/>
              <w:spacing w:line="240" w:lineRule="auto"/>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低压电工</w:t>
            </w:r>
          </w:p>
        </w:tc>
        <w:tc>
          <w:tcPr>
            <w:tcW w:w="1083" w:type="pct"/>
            <w:vAlign w:val="center"/>
          </w:tcPr>
          <w:p>
            <w:pPr>
              <w:widowControl/>
              <w:spacing w:line="240" w:lineRule="auto"/>
              <w:jc w:val="center"/>
              <w:textAlignment w:val="center"/>
              <w:rPr>
                <w:rFonts w:hint="default" w:ascii="Times New Roman" w:hAnsi="Times New Roman" w:cs="Times New Roman"/>
                <w:color w:val="000000"/>
                <w:kern w:val="0"/>
                <w:sz w:val="21"/>
                <w:szCs w:val="21"/>
                <w:lang w:val="en-US" w:eastAsia="zh-CN"/>
              </w:rPr>
            </w:pPr>
            <w:r>
              <w:rPr>
                <w:rFonts w:hint="eastAsia" w:cs="Times New Roman"/>
                <w:color w:val="000000"/>
                <w:kern w:val="0"/>
                <w:sz w:val="21"/>
                <w:szCs w:val="21"/>
                <w:lang w:val="en-US" w:eastAsia="zh-CN"/>
              </w:rPr>
              <w:t>2029.3.14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pPr>
              <w:widowControl/>
              <w:spacing w:line="240" w:lineRule="auto"/>
              <w:jc w:val="center"/>
              <w:textAlignment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6</w:t>
            </w:r>
          </w:p>
        </w:tc>
        <w:tc>
          <w:tcPr>
            <w:tcW w:w="696" w:type="pct"/>
            <w:vAlign w:val="center"/>
          </w:tcPr>
          <w:p>
            <w:pPr>
              <w:widowControl/>
              <w:spacing w:line="240" w:lineRule="auto"/>
              <w:jc w:val="center"/>
              <w:textAlignment w:val="center"/>
              <w:rPr>
                <w:rFonts w:hint="default" w:cs="Times New Roman"/>
                <w:color w:val="000000"/>
                <w:kern w:val="0"/>
                <w:sz w:val="21"/>
                <w:szCs w:val="21"/>
                <w:lang w:val="en-US" w:eastAsia="zh-CN"/>
              </w:rPr>
            </w:pPr>
            <w:r>
              <w:rPr>
                <w:rFonts w:hint="eastAsia" w:cs="Times New Roman"/>
                <w:color w:val="000000"/>
                <w:kern w:val="0"/>
                <w:sz w:val="21"/>
                <w:szCs w:val="21"/>
                <w:lang w:val="en-US" w:eastAsia="zh-CN"/>
              </w:rPr>
              <w:t>黄焕金</w:t>
            </w:r>
          </w:p>
        </w:tc>
        <w:tc>
          <w:tcPr>
            <w:tcW w:w="1410" w:type="pct"/>
            <w:vAlign w:val="center"/>
          </w:tcPr>
          <w:p>
            <w:pPr>
              <w:widowControl/>
              <w:spacing w:line="240" w:lineRule="auto"/>
              <w:jc w:val="center"/>
              <w:textAlignment w:val="center"/>
              <w:rPr>
                <w:rFonts w:hint="default" w:ascii="Times New Roman" w:hAnsi="Times New Roman" w:cs="Times New Roman"/>
                <w:color w:val="000000"/>
                <w:kern w:val="0"/>
                <w:sz w:val="21"/>
                <w:szCs w:val="21"/>
                <w:lang w:val="en-US" w:eastAsia="zh-CN"/>
              </w:rPr>
            </w:pPr>
            <w:r>
              <w:rPr>
                <w:rFonts w:hint="eastAsia" w:cs="Times New Roman"/>
                <w:color w:val="000000"/>
                <w:kern w:val="0"/>
                <w:sz w:val="21"/>
                <w:szCs w:val="21"/>
                <w:lang w:val="en-US" w:eastAsia="zh-CN"/>
              </w:rPr>
              <w:t>T36220119971120503X</w:t>
            </w:r>
          </w:p>
        </w:tc>
        <w:tc>
          <w:tcPr>
            <w:tcW w:w="1401" w:type="pct"/>
            <w:vAlign w:val="center"/>
          </w:tcPr>
          <w:p>
            <w:pPr>
              <w:widowControl/>
              <w:spacing w:line="240" w:lineRule="auto"/>
              <w:jc w:val="center"/>
              <w:textAlignment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低压电工</w:t>
            </w:r>
          </w:p>
        </w:tc>
        <w:tc>
          <w:tcPr>
            <w:tcW w:w="1083" w:type="pct"/>
            <w:vAlign w:val="center"/>
          </w:tcPr>
          <w:p>
            <w:pPr>
              <w:widowControl/>
              <w:spacing w:line="240" w:lineRule="auto"/>
              <w:jc w:val="center"/>
              <w:textAlignment w:val="center"/>
              <w:rPr>
                <w:rFonts w:hint="eastAsia" w:cs="Times New Roman"/>
                <w:color w:val="000000"/>
                <w:kern w:val="0"/>
                <w:sz w:val="21"/>
                <w:szCs w:val="21"/>
                <w:lang w:val="en-US" w:eastAsia="zh-CN"/>
              </w:rPr>
            </w:pPr>
            <w:r>
              <w:rPr>
                <w:rFonts w:hint="eastAsia" w:cs="Times New Roman"/>
                <w:color w:val="000000"/>
                <w:kern w:val="0"/>
                <w:sz w:val="21"/>
                <w:szCs w:val="21"/>
                <w:lang w:val="en-US" w:eastAsia="zh-CN"/>
              </w:rPr>
              <w:t>2029.3.14</w:t>
            </w:r>
          </w:p>
        </w:tc>
      </w:tr>
    </w:tbl>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6</w:t>
      </w:r>
      <w:r>
        <w:rPr>
          <w:rFonts w:hint="default" w:ascii="Times New Roman" w:hAnsi="Times New Roman" w:cs="Times New Roman"/>
        </w:rPr>
        <w:t>.4安全管理</w:t>
      </w:r>
      <w:bookmarkStart w:id="50" w:name="_Toc11325"/>
      <w:r>
        <w:rPr>
          <w:rFonts w:hint="default" w:ascii="Times New Roman" w:hAnsi="Times New Roman" w:cs="Times New Roman"/>
        </w:rPr>
        <w:t>制度</w:t>
      </w:r>
    </w:p>
    <w:bookmarkEnd w:id="50"/>
    <w:p>
      <w:pPr>
        <w:ind w:firstLine="560" w:firstLineChars="200"/>
        <w:rPr>
          <w:rFonts w:hint="default" w:ascii="Times New Roman" w:hAnsi="Times New Roman" w:cs="Times New Roman"/>
        </w:rPr>
      </w:pPr>
      <w:r>
        <w:rPr>
          <w:rFonts w:hint="default" w:ascii="Times New Roman" w:hAnsi="Times New Roman" w:cs="Times New Roman"/>
        </w:rPr>
        <w:t>1、安全生产责任制</w:t>
      </w:r>
    </w:p>
    <w:p>
      <w:pPr>
        <w:ind w:firstLine="560" w:firstLineChars="200"/>
        <w:rPr>
          <w:rFonts w:hint="default" w:ascii="Times New Roman" w:hAnsi="Times New Roman" w:cs="Times New Roman"/>
        </w:rPr>
      </w:pPr>
      <w:r>
        <w:rPr>
          <w:rFonts w:hint="default" w:ascii="Times New Roman" w:hAnsi="Times New Roman" w:cs="Times New Roman"/>
        </w:rPr>
        <w:t>为了加强公司生产安全工作，不断提高全员安全管理意识和技能，防止和减少生产安全事故，依据新修订发布实施的《中华人民共和国安全生产法》、《江西省安全生产条例》、《危险化学品安全管理条例》等安全生产相关法律法规及标准的指导精神，</w:t>
      </w:r>
      <w:r>
        <w:rPr>
          <w:rFonts w:hint="default" w:ascii="Times New Roman" w:hAnsi="Times New Roman" w:cs="Times New Roman"/>
          <w:lang w:eastAsia="zh-CN"/>
        </w:rPr>
        <w:t>上饶市广氟医药化工有限公司</w:t>
      </w:r>
      <w:r>
        <w:rPr>
          <w:rFonts w:hint="default" w:ascii="Times New Roman" w:hAnsi="Times New Roman" w:cs="Times New Roman"/>
        </w:rPr>
        <w:t>制定了公司相关从业人员全员安全生产责任制，明确了各级干部员工生产安全职责，详见下表2.6.4-1。</w:t>
      </w:r>
    </w:p>
    <w:p>
      <w:pPr>
        <w:ind w:firstLine="560" w:firstLineChars="200"/>
        <w:rPr>
          <w:rFonts w:hint="default" w:ascii="Times New Roman" w:hAnsi="Times New Roman" w:cs="Times New Roman"/>
        </w:rPr>
      </w:pPr>
      <w:r>
        <w:rPr>
          <w:rFonts w:hint="default" w:ascii="Times New Roman" w:hAnsi="Times New Roman" w:cs="Times New Roman"/>
        </w:rPr>
        <w:t>2、安全管理制度</w:t>
      </w:r>
    </w:p>
    <w:p>
      <w:pPr>
        <w:ind w:firstLine="560" w:firstLineChars="200"/>
        <w:rPr>
          <w:rFonts w:hint="default" w:ascii="Times New Roman" w:hAnsi="Times New Roman" w:cs="Times New Roman"/>
        </w:rPr>
      </w:pPr>
      <w:r>
        <w:rPr>
          <w:rFonts w:hint="default" w:ascii="Times New Roman" w:hAnsi="Times New Roman" w:cs="Times New Roman"/>
          <w:lang w:eastAsia="zh-CN"/>
        </w:rPr>
        <w:t>上饶市广氟医药化工有限公司</w:t>
      </w:r>
      <w:r>
        <w:rPr>
          <w:rFonts w:hint="default" w:ascii="Times New Roman" w:hAnsi="Times New Roman" w:cs="Times New Roman"/>
        </w:rPr>
        <w:t>根据生产装置的特点制订了一整套安全生产管理制度，包括安全生产职责、安全生产费用、安全生产会议管理、隐患排查治理、变更管理、事故管理，包括禁烟管理等安全生产管理制度，安全生产管理制度目录见报告附件。</w:t>
      </w:r>
    </w:p>
    <w:p>
      <w:pPr>
        <w:ind w:firstLine="560" w:firstLineChars="200"/>
        <w:rPr>
          <w:rFonts w:hint="default" w:ascii="Times New Roman" w:hAnsi="Times New Roman" w:cs="Times New Roman"/>
        </w:rPr>
      </w:pPr>
      <w:r>
        <w:rPr>
          <w:rFonts w:hint="default" w:ascii="Times New Roman" w:hAnsi="Times New Roman" w:cs="Times New Roman"/>
        </w:rPr>
        <w:t>3、操作规程</w:t>
      </w:r>
    </w:p>
    <w:p>
      <w:pPr>
        <w:ind w:firstLine="560" w:firstLineChars="200"/>
        <w:rPr>
          <w:rFonts w:hint="default" w:ascii="Times New Roman" w:hAnsi="Times New Roman" w:cs="Times New Roman"/>
        </w:rPr>
      </w:pPr>
      <w:r>
        <w:rPr>
          <w:rFonts w:hint="default" w:ascii="Times New Roman" w:hAnsi="Times New Roman" w:cs="Times New Roman"/>
          <w:lang w:eastAsia="zh-CN"/>
        </w:rPr>
        <w:t>上饶市广氟医药化工有限公司</w:t>
      </w:r>
      <w:r>
        <w:rPr>
          <w:rFonts w:hint="default" w:ascii="Times New Roman" w:hAnsi="Times New Roman" w:cs="Times New Roman"/>
        </w:rPr>
        <w:t>根据各岗位的工艺技术情况，分别制定了各岗位操作规程，主要制定有车间安全操作规程、车间操作工岗位安全规程、特殊作业安全规程等各项操作规程。操作规程清单见附件。</w:t>
      </w:r>
    </w:p>
    <w:bookmarkEnd w:id="49"/>
    <w:p>
      <w:pPr>
        <w:jc w:val="center"/>
        <w:rPr>
          <w:rFonts w:hint="default" w:ascii="Times New Roman" w:hAnsi="Times New Roman" w:cs="Times New Roman"/>
        </w:rPr>
      </w:pPr>
      <w:r>
        <w:rPr>
          <w:rFonts w:hint="default" w:ascii="Times New Roman" w:hAnsi="Times New Roman" w:cs="Times New Roman"/>
        </w:rPr>
        <w:t>表2.6.4-1公司全员安全生产责任制度汇总表</w:t>
      </w:r>
    </w:p>
    <w:tbl>
      <w:tblPr>
        <w:tblStyle w:val="25"/>
        <w:tblW w:w="5000"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592"/>
        <w:gridCol w:w="3855"/>
        <w:gridCol w:w="593"/>
        <w:gridCol w:w="4248"/>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7" w:hRule="atLeast"/>
          <w:jc w:val="center"/>
        </w:trPr>
        <w:tc>
          <w:tcPr>
            <w:tcW w:w="319" w:type="pct"/>
            <w:noWrap w:val="0"/>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075" w:type="pct"/>
            <w:noWrap w:val="0"/>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制度名称</w:t>
            </w:r>
          </w:p>
        </w:tc>
        <w:tc>
          <w:tcPr>
            <w:tcW w:w="319" w:type="pct"/>
            <w:noWrap w:val="0"/>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285" w:type="pct"/>
            <w:noWrap w:val="0"/>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制度名称</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5000" w:type="pct"/>
            <w:gridSpan w:val="4"/>
            <w:noWrap w:val="0"/>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各级部门及人员安全生产责任制</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075" w:type="pct"/>
            <w:noWrap w:val="0"/>
            <w:vAlign w:val="center"/>
          </w:tcPr>
          <w:p>
            <w:pPr>
              <w:spacing w:line="240" w:lineRule="auto"/>
              <w:ind w:firstLine="105" w:firstLineChars="50"/>
              <w:rPr>
                <w:rFonts w:hint="default" w:ascii="Times New Roman" w:hAnsi="Times New Roman" w:cs="Times New Roman"/>
                <w:sz w:val="21"/>
                <w:szCs w:val="21"/>
              </w:rPr>
            </w:pPr>
            <w:r>
              <w:rPr>
                <w:rFonts w:hint="default" w:ascii="Times New Roman" w:hAnsi="Times New Roman" w:cs="Times New Roman"/>
                <w:sz w:val="21"/>
                <w:szCs w:val="21"/>
              </w:rPr>
              <w:t xml:space="preserve">企业主要负责人（法人代表/安委会主任）职责 </w:t>
            </w:r>
          </w:p>
        </w:tc>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285"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管理者代表安全职责</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7" w:hRule="atLeast"/>
          <w:jc w:val="center"/>
        </w:trPr>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075" w:type="pct"/>
            <w:noWrap w:val="0"/>
            <w:vAlign w:val="top"/>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总工程师安全职责</w:t>
            </w:r>
          </w:p>
        </w:tc>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285" w:type="pct"/>
            <w:noWrap w:val="0"/>
            <w:vAlign w:val="top"/>
          </w:tcPr>
          <w:p>
            <w:pPr>
              <w:adjustRightInd w:val="0"/>
              <w:snapToGrid w:val="0"/>
              <w:spacing w:line="240" w:lineRule="auto"/>
              <w:jc w:val="center"/>
              <w:rPr>
                <w:rFonts w:hint="default" w:ascii="Times New Roman" w:hAnsi="Times New Roman" w:cs="Times New Roman"/>
                <w:sz w:val="21"/>
                <w:szCs w:val="21"/>
              </w:rPr>
            </w:pPr>
            <w:r>
              <w:rPr>
                <w:rFonts w:hint="eastAsia" w:cs="Times New Roman"/>
                <w:sz w:val="21"/>
                <w:szCs w:val="21"/>
                <w:lang w:eastAsia="zh-CN"/>
              </w:rPr>
              <w:t>安全部</w:t>
            </w:r>
            <w:r>
              <w:rPr>
                <w:rFonts w:hint="default" w:ascii="Times New Roman" w:hAnsi="Times New Roman" w:cs="Times New Roman"/>
                <w:sz w:val="21"/>
                <w:szCs w:val="21"/>
              </w:rPr>
              <w:t>安全职责</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7" w:hRule="atLeast"/>
          <w:jc w:val="center"/>
        </w:trPr>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075" w:type="pct"/>
            <w:noWrap w:val="0"/>
            <w:vAlign w:val="top"/>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分管生产副经理的安全职责</w:t>
            </w:r>
          </w:p>
        </w:tc>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285" w:type="pct"/>
            <w:noWrap w:val="0"/>
            <w:vAlign w:val="top"/>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生技部（分管生产技术和质量）副经理安全生产职责</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7" w:hRule="atLeast"/>
          <w:jc w:val="center"/>
        </w:trPr>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075" w:type="pct"/>
            <w:noWrap w:val="0"/>
            <w:vAlign w:val="top"/>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分管动力、设备副经理安全生产职责</w:t>
            </w:r>
          </w:p>
        </w:tc>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285" w:type="pct"/>
            <w:noWrap w:val="0"/>
            <w:vAlign w:val="top"/>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办公室（人事、工会、基建）安全职责</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7" w:hRule="atLeast"/>
          <w:jc w:val="center"/>
        </w:trPr>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075" w:type="pct"/>
            <w:noWrap w:val="0"/>
            <w:vAlign w:val="top"/>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质管部安全职责</w:t>
            </w:r>
          </w:p>
        </w:tc>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285" w:type="pct"/>
            <w:noWrap w:val="0"/>
            <w:vAlign w:val="top"/>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供销部安全职责</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7" w:hRule="atLeast"/>
          <w:jc w:val="center"/>
        </w:trPr>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075" w:type="pct"/>
            <w:noWrap w:val="0"/>
            <w:vAlign w:val="top"/>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仓库负责人及危化品保管员的安全职责</w:t>
            </w:r>
          </w:p>
        </w:tc>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285" w:type="pct"/>
            <w:noWrap w:val="0"/>
            <w:vAlign w:val="top"/>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财务部安全职责</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7" w:hRule="atLeast"/>
          <w:jc w:val="center"/>
        </w:trPr>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075" w:type="pct"/>
            <w:noWrap w:val="0"/>
            <w:vAlign w:val="top"/>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车间主任安全职责</w:t>
            </w:r>
          </w:p>
        </w:tc>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285" w:type="pct"/>
            <w:noWrap w:val="0"/>
            <w:vAlign w:val="top"/>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工段（班组长）安全职责</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7" w:hRule="atLeast"/>
          <w:jc w:val="center"/>
        </w:trPr>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075" w:type="pct"/>
            <w:noWrap w:val="0"/>
            <w:vAlign w:val="top"/>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机电车间主管及机修工安全生产职责</w:t>
            </w:r>
          </w:p>
        </w:tc>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285" w:type="pct"/>
            <w:noWrap w:val="0"/>
            <w:vAlign w:val="top"/>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质管部</w:t>
            </w:r>
            <w:r>
              <w:rPr>
                <w:rFonts w:hint="default" w:ascii="Times New Roman" w:hAnsi="Times New Roman" w:cs="Times New Roman"/>
                <w:sz w:val="21"/>
                <w:szCs w:val="21"/>
                <w:lang w:val="en-US" w:eastAsia="zh-CN"/>
              </w:rPr>
              <w:t>员工</w:t>
            </w:r>
            <w:r>
              <w:rPr>
                <w:rFonts w:hint="default" w:ascii="Times New Roman" w:hAnsi="Times New Roman" w:cs="Times New Roman"/>
                <w:sz w:val="21"/>
                <w:szCs w:val="21"/>
              </w:rPr>
              <w:t>的安全职责</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7" w:hRule="atLeast"/>
          <w:jc w:val="center"/>
        </w:trPr>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075" w:type="pct"/>
            <w:noWrap w:val="0"/>
            <w:vAlign w:val="top"/>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电工安全生产职责</w:t>
            </w:r>
          </w:p>
        </w:tc>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285" w:type="pct"/>
            <w:noWrap w:val="0"/>
            <w:vAlign w:val="top"/>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叉车工安全生产职责</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7" w:hRule="atLeast"/>
          <w:jc w:val="center"/>
        </w:trPr>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075" w:type="pct"/>
            <w:noWrap w:val="0"/>
            <w:vAlign w:val="top"/>
          </w:tcPr>
          <w:p>
            <w:pPr>
              <w:adjustRightInd w:val="0"/>
              <w:snapToGrid w:val="0"/>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焊工安全生产职责</w:t>
            </w:r>
          </w:p>
        </w:tc>
        <w:tc>
          <w:tcPr>
            <w:tcW w:w="319" w:type="pct"/>
            <w:noWrap w:val="0"/>
            <w:vAlign w:val="center"/>
          </w:tcPr>
          <w:p>
            <w:pPr>
              <w:numPr>
                <w:ilvl w:val="0"/>
                <w:numId w:val="13"/>
              </w:numPr>
              <w:adjustRightInd w:val="0"/>
              <w:snapToGrid w:val="0"/>
              <w:spacing w:line="240" w:lineRule="auto"/>
              <w:jc w:val="center"/>
              <w:rPr>
                <w:rFonts w:hint="default" w:ascii="Times New Roman" w:hAnsi="Times New Roman" w:cs="Times New Roman"/>
                <w:sz w:val="21"/>
                <w:szCs w:val="21"/>
              </w:rPr>
            </w:pPr>
          </w:p>
        </w:tc>
        <w:tc>
          <w:tcPr>
            <w:tcW w:w="2285" w:type="pct"/>
            <w:noWrap w:val="0"/>
            <w:vAlign w:val="top"/>
          </w:tcPr>
          <w:p>
            <w:pPr>
              <w:adjustRightInd w:val="0"/>
              <w:snapToGrid w:val="0"/>
              <w:spacing w:line="240" w:lineRule="auto"/>
              <w:jc w:val="center"/>
              <w:rPr>
                <w:rFonts w:hint="default" w:ascii="Times New Roman" w:hAnsi="Times New Roman" w:cs="Times New Roman"/>
                <w:sz w:val="21"/>
                <w:szCs w:val="21"/>
                <w:lang w:val="en-US" w:eastAsia="zh-CN"/>
              </w:rPr>
            </w:pPr>
          </w:p>
        </w:tc>
      </w:tr>
    </w:tbl>
    <w:p>
      <w:pPr>
        <w:jc w:val="center"/>
        <w:rPr>
          <w:rFonts w:hint="default" w:ascii="Times New Roman" w:hAnsi="Times New Roman" w:cs="Times New Roman"/>
        </w:rPr>
      </w:pPr>
      <w:r>
        <w:rPr>
          <w:rFonts w:hint="default" w:ascii="Times New Roman" w:hAnsi="Times New Roman" w:cs="Times New Roman"/>
        </w:rPr>
        <w:t>表2.6.4-2公司安全生产管理制度汇总表</w:t>
      </w:r>
    </w:p>
    <w:tbl>
      <w:tblPr>
        <w:tblStyle w:val="25"/>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3974"/>
        <w:gridCol w:w="600"/>
        <w:gridCol w:w="4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578"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制度名称</w:t>
            </w:r>
          </w:p>
        </w:tc>
        <w:tc>
          <w:tcPr>
            <w:tcW w:w="60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制度名称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安全生产责任制</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法律法规、标准规范与其他要求管理制度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安全生产会议管理制度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领导干部值班制度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安全生产责任制管理制度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安全生产奖惩管理制度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安全生产费用管理制度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危险源辨识、风险评价管理制度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安全生产事故隐患排查治理制度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重大危险源管理制度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变更管理制度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供应商管理制度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安全文件管理制度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安全生产档案管理制度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消防安全管理制度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防火防爆安全管理制度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管理制度评审和修订制度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安全培训教育制度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特种作业人员管理制度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外来作业人员安全管理制度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安全活动管理制度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新改扩工程项目“三同时”管理制度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生产设施安全管理制度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监视和测量设备管理制度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特种设备安全管理制度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关键装置、重点部位安全管理制度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仓库、罐区安全管理制度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生产设施拆除和报废管理制度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危险作业安全管理制度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承包商管理制度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职业卫生管理制度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劳动防护用品管理制度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危险化学品安全管理制度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应急救援管理制度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生产安全事故管理制度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安全检查管理制度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安全标准化自评管理制度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检维修管理制度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作业场所职业危害因素检测制度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厂区交通安全管理制度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电气安全管理制度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公用工程管理制度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生产装置开、停车安全管理制度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建（构）筑物管理制度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危险化学品管道安全管理制度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生产工艺管理制度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安全风险研判与承诺公告暂行管理规定</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风险分级管控管理制度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8" w:type="dxa"/>
            <w:vAlign w:val="center"/>
          </w:tcPr>
          <w:p>
            <w:pPr>
              <w:numPr>
                <w:ilvl w:val="0"/>
                <w:numId w:val="14"/>
              </w:numPr>
              <w:spacing w:line="240" w:lineRule="auto"/>
              <w:jc w:val="center"/>
              <w:rPr>
                <w:rFonts w:hint="default" w:ascii="Times New Roman" w:hAnsi="Times New Roman" w:cs="Times New Roman"/>
                <w:sz w:val="21"/>
                <w:szCs w:val="21"/>
              </w:rPr>
            </w:pPr>
          </w:p>
        </w:tc>
        <w:tc>
          <w:tcPr>
            <w:tcW w:w="3975"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危险废物管理制度</w:t>
            </w:r>
          </w:p>
        </w:tc>
        <w:tc>
          <w:tcPr>
            <w:tcW w:w="600" w:type="dxa"/>
            <w:vAlign w:val="center"/>
          </w:tcPr>
          <w:p>
            <w:pPr>
              <w:numPr>
                <w:ilvl w:val="0"/>
                <w:numId w:val="14"/>
              </w:numPr>
              <w:spacing w:line="240" w:lineRule="auto"/>
              <w:jc w:val="center"/>
              <w:rPr>
                <w:rFonts w:hint="default" w:ascii="Times New Roman" w:hAnsi="Times New Roman" w:eastAsia="Times New Roman" w:cs="Times New Roman"/>
                <w:sz w:val="21"/>
                <w:szCs w:val="21"/>
              </w:rPr>
            </w:pPr>
          </w:p>
        </w:tc>
        <w:tc>
          <w:tcPr>
            <w:tcW w:w="4135" w:type="dxa"/>
            <w:vAlign w:val="center"/>
          </w:tcPr>
          <w:p>
            <w:pPr>
              <w:spacing w:line="240" w:lineRule="auto"/>
              <w:jc w:val="center"/>
              <w:rPr>
                <w:rFonts w:hint="default" w:ascii="Times New Roman" w:hAnsi="Times New Roman" w:cs="Times New Roman"/>
                <w:sz w:val="21"/>
                <w:szCs w:val="21"/>
              </w:rPr>
            </w:pPr>
          </w:p>
        </w:tc>
      </w:tr>
    </w:tbl>
    <w:p>
      <w:pPr>
        <w:jc w:val="center"/>
        <w:rPr>
          <w:rFonts w:hint="default" w:ascii="Times New Roman" w:hAnsi="Times New Roman" w:cs="Times New Roman"/>
        </w:rPr>
      </w:pPr>
      <w:r>
        <w:rPr>
          <w:rFonts w:hint="default" w:ascii="Times New Roman" w:hAnsi="Times New Roman" w:cs="Times New Roman"/>
        </w:rPr>
        <w:t>表2.6.4-3岗位操作规程汇总表</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3615"/>
        <w:gridCol w:w="724"/>
        <w:gridCol w:w="4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26"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1947"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操作规程名称</w:t>
            </w:r>
          </w:p>
        </w:tc>
        <w:tc>
          <w:tcPr>
            <w:tcW w:w="390"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336"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操作规程名称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6" w:type="pct"/>
            <w:tcBorders>
              <w:top w:val="single" w:color="auto" w:sz="4" w:space="0"/>
              <w:left w:val="single" w:color="auto" w:sz="4" w:space="0"/>
              <w:bottom w:val="single" w:color="auto" w:sz="4" w:space="0"/>
              <w:right w:val="single" w:color="auto" w:sz="4" w:space="0"/>
            </w:tcBorders>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1947" w:type="pct"/>
            <w:tcBorders>
              <w:top w:val="single" w:color="auto" w:sz="4" w:space="0"/>
              <w:left w:val="single" w:color="auto" w:sz="4" w:space="0"/>
              <w:bottom w:val="single" w:color="auto" w:sz="4" w:space="0"/>
              <w:right w:val="single" w:color="auto" w:sz="4" w:space="0"/>
            </w:tcBorders>
            <w:shd w:val="clear" w:color="auto" w:fill="auto"/>
            <w:vAlign w:val="top"/>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焊割作业安全规程</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15"/>
              </w:numPr>
              <w:adjustRightInd w:val="0"/>
              <w:snapToGrid w:val="0"/>
              <w:spacing w:line="240" w:lineRule="auto"/>
              <w:ind w:left="0" w:leftChars="0" w:firstLine="0" w:firstLineChars="0"/>
              <w:jc w:val="center"/>
              <w:rPr>
                <w:rFonts w:hint="default" w:ascii="Times New Roman" w:hAnsi="Times New Roman" w:cs="Times New Roman"/>
                <w:sz w:val="21"/>
                <w:szCs w:val="21"/>
              </w:rPr>
            </w:pPr>
          </w:p>
        </w:tc>
        <w:tc>
          <w:tcPr>
            <w:tcW w:w="233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电焊工安全操作规程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26" w:type="pct"/>
            <w:tcBorders>
              <w:top w:val="single" w:color="auto" w:sz="4" w:space="0"/>
              <w:left w:val="single" w:color="auto" w:sz="4" w:space="0"/>
              <w:bottom w:val="single" w:color="auto" w:sz="4" w:space="0"/>
              <w:right w:val="single" w:color="auto" w:sz="4" w:space="0"/>
            </w:tcBorders>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1947" w:type="pct"/>
            <w:tcBorders>
              <w:top w:val="single" w:color="auto" w:sz="4" w:space="0"/>
              <w:left w:val="single" w:color="auto" w:sz="4" w:space="0"/>
              <w:bottom w:val="single" w:color="auto" w:sz="4" w:space="0"/>
              <w:right w:val="single" w:color="auto" w:sz="4" w:space="0"/>
            </w:tcBorders>
            <w:shd w:val="clear" w:color="auto" w:fill="auto"/>
            <w:vAlign w:val="top"/>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设备容器内检修作业安全规程</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233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起重吊装作业的安全规程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26" w:type="pct"/>
            <w:tcBorders>
              <w:top w:val="single" w:color="auto" w:sz="4" w:space="0"/>
              <w:left w:val="single" w:color="auto" w:sz="4" w:space="0"/>
              <w:bottom w:val="single" w:color="auto" w:sz="4" w:space="0"/>
              <w:right w:val="single" w:color="auto" w:sz="4" w:space="0"/>
            </w:tcBorders>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1947" w:type="pct"/>
            <w:tcBorders>
              <w:top w:val="single" w:color="auto" w:sz="4" w:space="0"/>
              <w:left w:val="single" w:color="auto" w:sz="4" w:space="0"/>
              <w:bottom w:val="single" w:color="auto" w:sz="4" w:space="0"/>
              <w:right w:val="single" w:color="auto" w:sz="4" w:space="0"/>
            </w:tcBorders>
            <w:shd w:val="clear" w:color="auto" w:fill="auto"/>
            <w:vAlign w:val="top"/>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高处作业的安全规程</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233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电工安全操作规程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26" w:type="pct"/>
            <w:tcBorders>
              <w:top w:val="single" w:color="auto" w:sz="4" w:space="0"/>
              <w:left w:val="single" w:color="auto" w:sz="4" w:space="0"/>
              <w:bottom w:val="single" w:color="auto" w:sz="4" w:space="0"/>
              <w:right w:val="single" w:color="auto" w:sz="4" w:space="0"/>
            </w:tcBorders>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1947" w:type="pct"/>
            <w:tcBorders>
              <w:top w:val="single" w:color="auto" w:sz="4" w:space="0"/>
              <w:left w:val="single" w:color="auto" w:sz="4" w:space="0"/>
              <w:bottom w:val="single" w:color="auto" w:sz="4" w:space="0"/>
              <w:right w:val="single" w:color="auto" w:sz="4" w:space="0"/>
            </w:tcBorders>
            <w:shd w:val="clear" w:color="auto" w:fill="auto"/>
            <w:vAlign w:val="top"/>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操作工安全规程</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233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手动葫芦安全规程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326" w:type="pct"/>
            <w:tcBorders>
              <w:top w:val="single" w:color="auto" w:sz="4" w:space="0"/>
              <w:left w:val="single" w:color="auto" w:sz="4" w:space="0"/>
              <w:bottom w:val="single" w:color="auto" w:sz="4" w:space="0"/>
              <w:right w:val="single" w:color="auto" w:sz="4" w:space="0"/>
            </w:tcBorders>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1947" w:type="pct"/>
            <w:tcBorders>
              <w:top w:val="single" w:color="auto" w:sz="4" w:space="0"/>
              <w:left w:val="single" w:color="auto" w:sz="4" w:space="0"/>
              <w:bottom w:val="single" w:color="auto" w:sz="4" w:space="0"/>
              <w:right w:val="single" w:color="auto" w:sz="4" w:space="0"/>
            </w:tcBorders>
            <w:shd w:val="clear" w:color="auto" w:fill="auto"/>
            <w:vAlign w:val="top"/>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电</w:t>
            </w:r>
            <w:r>
              <w:rPr>
                <w:rFonts w:hint="eastAsia" w:cs="Times New Roman"/>
                <w:sz w:val="21"/>
                <w:szCs w:val="21"/>
                <w:lang w:val="en-US" w:eastAsia="zh-CN"/>
              </w:rPr>
              <w:t>动</w:t>
            </w:r>
            <w:r>
              <w:rPr>
                <w:rFonts w:hint="default" w:ascii="Times New Roman" w:hAnsi="Times New Roman" w:cs="Times New Roman"/>
                <w:sz w:val="21"/>
                <w:szCs w:val="21"/>
              </w:rPr>
              <w:t>葫芦安全规程</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233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叉车司机安全规程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26" w:type="pct"/>
            <w:tcBorders>
              <w:top w:val="single" w:color="auto" w:sz="4" w:space="0"/>
              <w:left w:val="single" w:color="auto" w:sz="4" w:space="0"/>
              <w:bottom w:val="single" w:color="auto" w:sz="4" w:space="0"/>
              <w:right w:val="single" w:color="auto" w:sz="4" w:space="0"/>
            </w:tcBorders>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1947" w:type="pct"/>
            <w:tcBorders>
              <w:top w:val="single" w:color="auto" w:sz="4" w:space="0"/>
              <w:left w:val="single" w:color="auto" w:sz="4" w:space="0"/>
              <w:bottom w:val="single" w:color="auto" w:sz="4" w:space="0"/>
              <w:right w:val="single" w:color="auto" w:sz="4" w:space="0"/>
            </w:tcBorders>
            <w:shd w:val="clear" w:color="auto" w:fill="auto"/>
            <w:vAlign w:val="top"/>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化验室安全技术规程</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233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反应车间安全操作规程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26" w:type="pct"/>
            <w:tcBorders>
              <w:top w:val="single" w:color="auto" w:sz="4" w:space="0"/>
              <w:left w:val="single" w:color="auto" w:sz="4" w:space="0"/>
              <w:bottom w:val="single" w:color="auto" w:sz="4" w:space="0"/>
              <w:right w:val="single" w:color="auto" w:sz="4" w:space="0"/>
            </w:tcBorders>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1947" w:type="pct"/>
            <w:tcBorders>
              <w:top w:val="single" w:color="auto" w:sz="4" w:space="0"/>
              <w:left w:val="single" w:color="auto" w:sz="4" w:space="0"/>
              <w:bottom w:val="single" w:color="auto" w:sz="4" w:space="0"/>
              <w:right w:val="single" w:color="auto" w:sz="4" w:space="0"/>
            </w:tcBorders>
            <w:shd w:val="clear" w:color="auto" w:fill="auto"/>
            <w:vAlign w:val="top"/>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烘房安全操作规程</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233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打包车间安全操作规程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26" w:type="pct"/>
            <w:tcBorders>
              <w:top w:val="single" w:color="auto" w:sz="4" w:space="0"/>
              <w:left w:val="single" w:color="auto" w:sz="4" w:space="0"/>
              <w:bottom w:val="single" w:color="auto" w:sz="4" w:space="0"/>
              <w:right w:val="single" w:color="auto" w:sz="4" w:space="0"/>
            </w:tcBorders>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1947" w:type="pct"/>
            <w:tcBorders>
              <w:top w:val="single" w:color="auto" w:sz="4" w:space="0"/>
              <w:left w:val="single" w:color="auto" w:sz="4" w:space="0"/>
              <w:bottom w:val="single" w:color="auto" w:sz="4" w:space="0"/>
              <w:right w:val="single" w:color="auto" w:sz="4" w:space="0"/>
            </w:tcBorders>
            <w:shd w:val="clear" w:color="auto" w:fill="auto"/>
            <w:vAlign w:val="top"/>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温度计校验规程</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233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压力表校验规程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26" w:type="pct"/>
            <w:tcBorders>
              <w:top w:val="single" w:color="auto" w:sz="4" w:space="0"/>
              <w:left w:val="single" w:color="auto" w:sz="4" w:space="0"/>
              <w:bottom w:val="single" w:color="auto" w:sz="4" w:space="0"/>
              <w:right w:val="single" w:color="auto" w:sz="4" w:space="0"/>
            </w:tcBorders>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1947" w:type="pct"/>
            <w:tcBorders>
              <w:top w:val="single" w:color="auto" w:sz="4" w:space="0"/>
              <w:left w:val="single" w:color="auto" w:sz="4" w:space="0"/>
              <w:bottom w:val="single" w:color="auto" w:sz="4" w:space="0"/>
              <w:right w:val="single" w:color="auto" w:sz="4" w:space="0"/>
            </w:tcBorders>
            <w:shd w:val="clear" w:color="auto" w:fill="auto"/>
            <w:vAlign w:val="top"/>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反应釜</w:t>
            </w:r>
            <w:r>
              <w:rPr>
                <w:rFonts w:hint="default" w:ascii="Times New Roman" w:hAnsi="Times New Roman" w:cs="Times New Roman"/>
                <w:sz w:val="21"/>
                <w:szCs w:val="21"/>
              </w:rPr>
              <w:t>安全运行规程</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233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污水处理规程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26" w:type="pct"/>
            <w:tcBorders>
              <w:top w:val="single" w:color="auto" w:sz="4" w:space="0"/>
              <w:left w:val="single" w:color="auto" w:sz="4" w:space="0"/>
              <w:bottom w:val="single" w:color="auto" w:sz="4" w:space="0"/>
              <w:right w:val="single" w:color="auto" w:sz="4" w:space="0"/>
            </w:tcBorders>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1947" w:type="pct"/>
            <w:tcBorders>
              <w:top w:val="single" w:color="auto" w:sz="4" w:space="0"/>
              <w:left w:val="single" w:color="auto" w:sz="4" w:space="0"/>
              <w:bottom w:val="single" w:color="auto" w:sz="4" w:space="0"/>
              <w:right w:val="single" w:color="auto" w:sz="4" w:space="0"/>
            </w:tcBorders>
            <w:shd w:val="clear" w:color="auto" w:fill="auto"/>
            <w:vAlign w:val="top"/>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手持电动工具操作规程</w:t>
            </w:r>
          </w:p>
        </w:tc>
        <w:tc>
          <w:tcPr>
            <w:tcW w:w="390" w:type="pct"/>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15"/>
              </w:numPr>
              <w:adjustRightInd w:val="0"/>
              <w:snapToGrid w:val="0"/>
              <w:spacing w:line="240" w:lineRule="auto"/>
              <w:ind w:left="146" w:leftChars="0" w:hanging="146" w:firstLineChars="0"/>
              <w:jc w:val="center"/>
              <w:rPr>
                <w:rFonts w:hint="default" w:ascii="Times New Roman" w:hAnsi="Times New Roman" w:cs="Times New Roman"/>
                <w:sz w:val="21"/>
                <w:szCs w:val="21"/>
              </w:rPr>
            </w:pPr>
          </w:p>
        </w:tc>
        <w:tc>
          <w:tcPr>
            <w:tcW w:w="2336"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default" w:ascii="Times New Roman" w:hAnsi="Times New Roman" w:cs="Times New Roman"/>
                <w:sz w:val="21"/>
                <w:szCs w:val="21"/>
              </w:rPr>
            </w:pPr>
          </w:p>
        </w:tc>
      </w:tr>
    </w:tbl>
    <w:p>
      <w:pPr>
        <w:bidi w:val="0"/>
        <w:ind w:firstLine="560" w:firstLineChars="200"/>
        <w:rPr>
          <w:rFonts w:hint="default" w:ascii="Times New Roman" w:hAnsi="Times New Roman" w:eastAsia="宋体" w:cs="Times New Roman"/>
          <w:lang w:val="en-US" w:eastAsia="zh-CN"/>
        </w:rPr>
      </w:pPr>
      <w:r>
        <w:rPr>
          <w:rFonts w:hint="default" w:ascii="Times New Roman" w:hAnsi="Times New Roman" w:cs="Times New Roman"/>
          <w:lang w:val="en-US" w:eastAsia="zh-CN"/>
        </w:rPr>
        <w:t>该公司制定的岗位操作规程不完善（缺少如八大作业、空压机的操作规程），本报告提出整改。</w:t>
      </w:r>
    </w:p>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6</w:t>
      </w:r>
      <w:r>
        <w:rPr>
          <w:rFonts w:hint="default" w:ascii="Times New Roman" w:hAnsi="Times New Roman" w:cs="Times New Roman"/>
        </w:rPr>
        <w:t>.5 日常安全管</w:t>
      </w:r>
      <w:bookmarkStart w:id="51" w:name="_Toc7836"/>
      <w:r>
        <w:rPr>
          <w:rFonts w:hint="default" w:ascii="Times New Roman" w:hAnsi="Times New Roman" w:cs="Times New Roman"/>
        </w:rPr>
        <w:t>理</w:t>
      </w:r>
    </w:p>
    <w:p>
      <w:pPr>
        <w:ind w:firstLine="560" w:firstLineChars="200"/>
        <w:rPr>
          <w:rFonts w:hint="default" w:ascii="Times New Roman" w:hAnsi="Times New Roman" w:cs="Times New Roman"/>
        </w:rPr>
      </w:pPr>
      <w:r>
        <w:rPr>
          <w:rFonts w:hint="default" w:ascii="Times New Roman" w:hAnsi="Times New Roman" w:cs="Times New Roman"/>
        </w:rPr>
        <w:t>1）加强日常安全检查，</w:t>
      </w:r>
      <w:bookmarkEnd w:id="51"/>
      <w:r>
        <w:rPr>
          <w:rFonts w:hint="default" w:ascii="Times New Roman" w:hAnsi="Times New Roman" w:cs="Times New Roman"/>
        </w:rPr>
        <w:t>并认真作好检查记录，杜绝违章操作、违章指挥。</w:t>
      </w:r>
    </w:p>
    <w:p>
      <w:pPr>
        <w:ind w:firstLine="560" w:firstLineChars="200"/>
        <w:rPr>
          <w:rFonts w:hint="default" w:ascii="Times New Roman" w:hAnsi="Times New Roman" w:cs="Times New Roman"/>
        </w:rPr>
      </w:pPr>
      <w:r>
        <w:rPr>
          <w:rFonts w:hint="default" w:ascii="Times New Roman" w:hAnsi="Times New Roman" w:cs="Times New Roman"/>
        </w:rPr>
        <w:t>2）严格执行“四不放过”原则，加强事故管理，并建立事故台帐。</w:t>
      </w:r>
    </w:p>
    <w:p>
      <w:pPr>
        <w:ind w:firstLine="560" w:firstLineChars="200"/>
        <w:rPr>
          <w:rFonts w:hint="default" w:ascii="Times New Roman" w:hAnsi="Times New Roman" w:cs="Times New Roman"/>
        </w:rPr>
      </w:pPr>
      <w:r>
        <w:rPr>
          <w:rFonts w:hint="default" w:ascii="Times New Roman" w:hAnsi="Times New Roman" w:cs="Times New Roman"/>
        </w:rPr>
        <w:t>3）根据各岗位的特点配发相应的劳动防护用品。</w:t>
      </w:r>
    </w:p>
    <w:p>
      <w:pPr>
        <w:ind w:firstLine="560" w:firstLineChars="200"/>
        <w:rPr>
          <w:rFonts w:hint="default" w:ascii="Times New Roman" w:hAnsi="Times New Roman" w:cs="Times New Roman"/>
        </w:rPr>
      </w:pPr>
      <w:r>
        <w:rPr>
          <w:rFonts w:hint="default" w:ascii="Times New Roman" w:hAnsi="Times New Roman" w:cs="Times New Roman"/>
        </w:rPr>
        <w:t>4）加强设备管理，建立完善的设备管理台帐，对设备及主要元件的运行时间有记录，保证了设备的正常运行。</w:t>
      </w:r>
    </w:p>
    <w:p>
      <w:pPr>
        <w:ind w:firstLine="560" w:firstLineChars="200"/>
        <w:rPr>
          <w:rFonts w:hint="default" w:ascii="Times New Roman" w:hAnsi="Times New Roman" w:cs="Times New Roman"/>
        </w:rPr>
      </w:pPr>
      <w:r>
        <w:rPr>
          <w:rFonts w:hint="default" w:ascii="Times New Roman" w:hAnsi="Times New Roman" w:cs="Times New Roman"/>
        </w:rPr>
        <w:t>5）设备检修实行许可证制度，做到检修有计划，有方案，并严格办理安全作业证。</w:t>
      </w:r>
    </w:p>
    <w:p>
      <w:pPr>
        <w:ind w:firstLine="560" w:firstLineChars="200"/>
        <w:rPr>
          <w:rFonts w:hint="default" w:ascii="Times New Roman" w:hAnsi="Times New Roman" w:cs="Times New Roman"/>
        </w:rPr>
      </w:pPr>
      <w:r>
        <w:rPr>
          <w:rFonts w:hint="default" w:ascii="Times New Roman" w:hAnsi="Times New Roman" w:cs="Times New Roman"/>
        </w:rPr>
        <w:t>6）作业场所设置危害告知牌，设立安全警示标志。</w:t>
      </w:r>
    </w:p>
    <w:p>
      <w:pPr>
        <w:ind w:firstLine="560" w:firstLineChars="200"/>
        <w:rPr>
          <w:rFonts w:hint="default" w:ascii="Times New Roman" w:hAnsi="Times New Roman" w:cs="Times New Roman"/>
        </w:rPr>
      </w:pPr>
      <w:r>
        <w:rPr>
          <w:rFonts w:hint="default" w:ascii="Times New Roman" w:hAnsi="Times New Roman" w:cs="Times New Roman"/>
        </w:rPr>
        <w:t>7）操作人员按规定对设备的工艺运行情况进行巡回检查，严禁违章操作现象发生，做好事故预案和演练工作。</w:t>
      </w:r>
    </w:p>
    <w:p>
      <w:pPr>
        <w:ind w:firstLine="560" w:firstLineChars="200"/>
        <w:rPr>
          <w:rFonts w:hint="default" w:ascii="Times New Roman" w:hAnsi="Times New Roman" w:cs="Times New Roman"/>
        </w:rPr>
      </w:pPr>
      <w:r>
        <w:rPr>
          <w:rFonts w:hint="default" w:ascii="Times New Roman" w:hAnsi="Times New Roman" w:cs="Times New Roman"/>
        </w:rPr>
        <w:t>8）对设备的操作人员进行技术培训和考核工作。</w:t>
      </w:r>
    </w:p>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.6</w:t>
      </w:r>
      <w:r>
        <w:rPr>
          <w:rFonts w:hint="default" w:ascii="Times New Roman" w:hAnsi="Times New Roman" w:cs="Times New Roman"/>
        </w:rPr>
        <w:t>.6 事故应急救</w:t>
      </w:r>
      <w:bookmarkStart w:id="52" w:name="_Toc14469"/>
      <w:r>
        <w:rPr>
          <w:rFonts w:hint="default" w:ascii="Times New Roman" w:hAnsi="Times New Roman" w:cs="Times New Roman"/>
        </w:rPr>
        <w:t>援预案</w:t>
      </w:r>
    </w:p>
    <w:bookmarkEnd w:id="52"/>
    <w:p>
      <w:pPr>
        <w:ind w:firstLine="560" w:firstLineChars="200"/>
        <w:rPr>
          <w:rFonts w:hint="default" w:ascii="Times New Roman" w:hAnsi="Times New Roman" w:cs="Times New Roman"/>
        </w:rPr>
      </w:pPr>
      <w:r>
        <w:rPr>
          <w:rFonts w:hint="default" w:ascii="Times New Roman" w:hAnsi="Times New Roman" w:cs="Times New Roman"/>
          <w:lang w:eastAsia="zh-CN"/>
        </w:rPr>
        <w:t>上饶市广氟医药化工有限公司</w:t>
      </w:r>
      <w:r>
        <w:rPr>
          <w:rFonts w:hint="default" w:ascii="Times New Roman" w:hAnsi="Times New Roman" w:cs="Times New Roman"/>
        </w:rPr>
        <w:t>根据企业自身实际，同时按照《生产经营单位生产安全事故应急预案编制导则》的要求修订了</w:t>
      </w:r>
      <w:r>
        <w:rPr>
          <w:rFonts w:hint="default" w:ascii="Times New Roman" w:hAnsi="Times New Roman" w:cs="Times New Roman"/>
          <w:lang w:val="en-US" w:eastAsia="zh-CN"/>
        </w:rPr>
        <w:t>生产安全</w:t>
      </w:r>
      <w:r>
        <w:rPr>
          <w:rFonts w:hint="default" w:ascii="Times New Roman" w:hAnsi="Times New Roman" w:cs="Times New Roman"/>
        </w:rPr>
        <w:t>事故应急预案，预案简洁地说明了企业所处的地理位置、周边环境和设施、设备、装置等情况，对重大危险源进行了辨识，对其存在的主要危险、有害因素进行了充分的分析，提出了各种不同类型事故的应急处理方案和处置措施，以及应急救援的组织机构、专业队伍及其职责，预案还说明了事故的善后处理程序、应急保障、培训与演练等。</w:t>
      </w:r>
    </w:p>
    <w:p>
      <w:pPr>
        <w:ind w:firstLine="560" w:firstLineChars="200"/>
        <w:rPr>
          <w:rFonts w:hint="default" w:ascii="Times New Roman" w:hAnsi="Times New Roman" w:cs="Times New Roman"/>
        </w:rPr>
      </w:pPr>
      <w:r>
        <w:rPr>
          <w:rFonts w:hint="eastAsia" w:cs="Times New Roman"/>
          <w:lang w:eastAsia="zh-CN"/>
        </w:rPr>
        <w:t>2023年7月19日</w:t>
      </w:r>
      <w:r>
        <w:rPr>
          <w:rFonts w:hint="default" w:ascii="Times New Roman" w:hAnsi="Times New Roman" w:cs="Times New Roman"/>
          <w:lang w:eastAsia="zh-CN"/>
        </w:rPr>
        <w:t>上饶市广氟医药化工有限公司</w:t>
      </w:r>
      <w:r>
        <w:rPr>
          <w:rFonts w:hint="default" w:ascii="Times New Roman" w:hAnsi="Times New Roman" w:cs="Times New Roman"/>
        </w:rPr>
        <w:t>生产安全事故应急预案于在</w:t>
      </w:r>
      <w:r>
        <w:rPr>
          <w:rFonts w:hint="default" w:ascii="Times New Roman" w:hAnsi="Times New Roman" w:cs="Times New Roman"/>
          <w:lang w:eastAsia="zh-CN"/>
        </w:rPr>
        <w:t>上饶市应急管理局</w:t>
      </w:r>
      <w:r>
        <w:rPr>
          <w:rFonts w:hint="default" w:ascii="Times New Roman" w:hAnsi="Times New Roman" w:cs="Times New Roman"/>
        </w:rPr>
        <w:t>备案，备案编号：</w:t>
      </w:r>
      <w:r>
        <w:rPr>
          <w:rFonts w:hint="eastAsia" w:cs="Times New Roman"/>
          <w:lang w:val="en-US" w:eastAsia="zh-CN"/>
        </w:rPr>
        <w:t>YJYA362325-2023-2080</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rPr>
        <w:t>该应急预案包含：综合预案1个，专项预案</w:t>
      </w:r>
      <w:r>
        <w:rPr>
          <w:rFonts w:hint="default" w:ascii="Times New Roman" w:hAnsi="Times New Roman" w:cs="Times New Roman"/>
          <w:lang w:val="en-US" w:eastAsia="zh-CN"/>
        </w:rPr>
        <w:t>5</w:t>
      </w:r>
      <w:r>
        <w:rPr>
          <w:rFonts w:hint="default" w:ascii="Times New Roman" w:hAnsi="Times New Roman" w:cs="Times New Roman"/>
        </w:rPr>
        <w:t>个（危险化学品泄漏专项预案</w:t>
      </w:r>
      <w:r>
        <w:rPr>
          <w:rFonts w:hint="default" w:ascii="Times New Roman" w:hAnsi="Times New Roman" w:cs="Times New Roman"/>
          <w:lang w:eastAsia="zh-CN"/>
        </w:rPr>
        <w:t>、</w:t>
      </w:r>
      <w:r>
        <w:rPr>
          <w:rFonts w:hint="default" w:ascii="Times New Roman" w:hAnsi="Times New Roman" w:cs="Times New Roman"/>
        </w:rPr>
        <w:t>火灾事故专项应急预案、</w:t>
      </w:r>
      <w:r>
        <w:rPr>
          <w:rFonts w:hint="default" w:ascii="Times New Roman" w:hAnsi="Times New Roman" w:cs="Times New Roman"/>
          <w:lang w:val="en-US" w:eastAsia="zh-CN"/>
        </w:rPr>
        <w:t>爆炸</w:t>
      </w:r>
      <w:r>
        <w:rPr>
          <w:rFonts w:hint="default" w:ascii="Times New Roman" w:hAnsi="Times New Roman" w:cs="Times New Roman"/>
        </w:rPr>
        <w:t>事故专项应急预案</w:t>
      </w:r>
      <w:r>
        <w:rPr>
          <w:rFonts w:hint="default" w:ascii="Times New Roman" w:hAnsi="Times New Roman" w:cs="Times New Roman"/>
          <w:lang w:eastAsia="zh-CN"/>
        </w:rPr>
        <w:t>、氢氟酸及有毒物质泄漏专项预案、</w:t>
      </w:r>
      <w:r>
        <w:rPr>
          <w:rFonts w:hint="default" w:ascii="Times New Roman" w:hAnsi="Times New Roman" w:cs="Times New Roman"/>
        </w:rPr>
        <w:t>特种设备事故专项预案），现场处置方案</w:t>
      </w:r>
      <w:r>
        <w:rPr>
          <w:rFonts w:hint="default" w:ascii="Times New Roman" w:hAnsi="Times New Roman" w:cs="Times New Roman"/>
          <w:lang w:val="en-US" w:eastAsia="zh-CN"/>
        </w:rPr>
        <w:t>2</w:t>
      </w:r>
      <w:r>
        <w:rPr>
          <w:rFonts w:hint="default" w:ascii="Times New Roman" w:hAnsi="Times New Roman" w:cs="Times New Roman"/>
        </w:rPr>
        <w:t>个（车间现场处置方案、原料储罐区现场处置方案）。</w:t>
      </w:r>
    </w:p>
    <w:p>
      <w:pPr>
        <w:ind w:firstLine="560" w:firstLineChars="200"/>
        <w:rPr>
          <w:rFonts w:hint="default" w:ascii="Times New Roman" w:hAnsi="Times New Roman" w:cs="Times New Roman"/>
        </w:rPr>
      </w:pPr>
      <w:r>
        <w:rPr>
          <w:rFonts w:hint="default" w:ascii="Times New Roman" w:hAnsi="Times New Roman" w:cs="Times New Roman"/>
          <w:lang w:eastAsia="zh-CN"/>
        </w:rPr>
        <w:t>上饶市广氟医药化工有限公司</w:t>
      </w:r>
      <w:r>
        <w:rPr>
          <w:rFonts w:hint="default" w:ascii="Times New Roman" w:hAnsi="Times New Roman" w:cs="Times New Roman"/>
        </w:rPr>
        <w:t>202</w:t>
      </w:r>
      <w:r>
        <w:rPr>
          <w:rFonts w:hint="default" w:ascii="Times New Roman" w:hAnsi="Times New Roman" w:cs="Times New Roman"/>
          <w:lang w:val="en-US" w:eastAsia="zh-CN"/>
        </w:rPr>
        <w:t>3</w:t>
      </w:r>
      <w:r>
        <w:rPr>
          <w:rFonts w:hint="default" w:ascii="Times New Roman" w:hAnsi="Times New Roman" w:cs="Times New Roman"/>
        </w:rPr>
        <w:t>年</w:t>
      </w:r>
      <w:r>
        <w:rPr>
          <w:rFonts w:hint="default" w:ascii="Times New Roman" w:hAnsi="Times New Roman" w:cs="Times New Roman"/>
          <w:lang w:val="en-US" w:eastAsia="zh-CN"/>
        </w:rPr>
        <w:t>5</w:t>
      </w:r>
      <w:r>
        <w:rPr>
          <w:rFonts w:hint="default" w:ascii="Times New Roman" w:hAnsi="Times New Roman" w:cs="Times New Roman"/>
        </w:rPr>
        <w:t>月针对事故应急救援预案进行了教育培训、应急演练。</w:t>
      </w:r>
    </w:p>
    <w:p>
      <w:pPr>
        <w:spacing w:line="480" w:lineRule="exact"/>
        <w:ind w:firstLine="1960" w:firstLineChars="700"/>
        <w:rPr>
          <w:rFonts w:hint="default" w:ascii="Times New Roman" w:hAnsi="Times New Roman" w:cs="Times New Roman"/>
        </w:rPr>
      </w:pPr>
      <w:r>
        <w:rPr>
          <w:rFonts w:hint="default" w:ascii="Times New Roman" w:hAnsi="Times New Roman" w:cs="Times New Roman"/>
        </w:rPr>
        <w:t>表2.6.6-1 应急救援器材一览表</w:t>
      </w:r>
    </w:p>
    <w:tbl>
      <w:tblPr>
        <w:tblStyle w:val="25"/>
        <w:tblW w:w="50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2"/>
        <w:gridCol w:w="1992"/>
        <w:gridCol w:w="1161"/>
        <w:gridCol w:w="1497"/>
        <w:gridCol w:w="1888"/>
        <w:gridCol w:w="19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357" w:type="pct"/>
            <w:vAlign w:val="center"/>
          </w:tcPr>
          <w:p>
            <w:pPr>
              <w:autoSpaceDE w:val="0"/>
              <w:autoSpaceDN w:val="0"/>
              <w:spacing w:line="240" w:lineRule="auto"/>
              <w:jc w:val="center"/>
              <w:rPr>
                <w:rFonts w:hint="default" w:ascii="Times New Roman" w:hAnsi="Times New Roman" w:cs="Times New Roman"/>
                <w:b/>
                <w:sz w:val="21"/>
                <w:szCs w:val="21"/>
                <w:lang w:val="zh-CN" w:bidi="zh-CN"/>
              </w:rPr>
            </w:pPr>
            <w:r>
              <w:rPr>
                <w:rFonts w:hint="default" w:ascii="Times New Roman" w:hAnsi="Times New Roman" w:cs="Times New Roman"/>
                <w:b/>
                <w:sz w:val="21"/>
                <w:szCs w:val="21"/>
                <w:lang w:val="zh-CN" w:bidi="zh-CN"/>
              </w:rPr>
              <w:t>序号</w:t>
            </w:r>
          </w:p>
        </w:tc>
        <w:tc>
          <w:tcPr>
            <w:tcW w:w="1091" w:type="pct"/>
            <w:vAlign w:val="center"/>
          </w:tcPr>
          <w:p>
            <w:pPr>
              <w:autoSpaceDE w:val="0"/>
              <w:autoSpaceDN w:val="0"/>
              <w:spacing w:line="240" w:lineRule="auto"/>
              <w:jc w:val="center"/>
              <w:rPr>
                <w:rFonts w:hint="default" w:ascii="Times New Roman" w:hAnsi="Times New Roman" w:cs="Times New Roman"/>
                <w:b/>
                <w:sz w:val="21"/>
                <w:szCs w:val="21"/>
                <w:lang w:val="zh-CN" w:bidi="zh-CN"/>
              </w:rPr>
            </w:pPr>
            <w:r>
              <w:rPr>
                <w:rFonts w:hint="default" w:ascii="Times New Roman" w:hAnsi="Times New Roman" w:cs="Times New Roman"/>
                <w:b/>
                <w:sz w:val="21"/>
                <w:szCs w:val="21"/>
                <w:lang w:val="zh-CN" w:bidi="zh-CN"/>
              </w:rPr>
              <w:t>药品名称</w:t>
            </w:r>
          </w:p>
        </w:tc>
        <w:tc>
          <w:tcPr>
            <w:tcW w:w="636" w:type="pct"/>
            <w:vAlign w:val="center"/>
          </w:tcPr>
          <w:p>
            <w:pPr>
              <w:autoSpaceDE w:val="0"/>
              <w:autoSpaceDN w:val="0"/>
              <w:spacing w:line="240" w:lineRule="auto"/>
              <w:jc w:val="center"/>
              <w:rPr>
                <w:rFonts w:hint="default" w:ascii="Times New Roman" w:hAnsi="Times New Roman" w:cs="Times New Roman"/>
                <w:b/>
                <w:sz w:val="21"/>
                <w:szCs w:val="21"/>
                <w:lang w:val="zh-CN" w:bidi="zh-CN"/>
              </w:rPr>
            </w:pPr>
            <w:r>
              <w:rPr>
                <w:rFonts w:hint="default" w:ascii="Times New Roman" w:hAnsi="Times New Roman" w:cs="Times New Roman"/>
                <w:b/>
                <w:sz w:val="21"/>
                <w:szCs w:val="21"/>
                <w:lang w:val="en-US" w:bidi="zh-CN"/>
              </w:rPr>
              <w:t>型号</w:t>
            </w:r>
          </w:p>
        </w:tc>
        <w:tc>
          <w:tcPr>
            <w:tcW w:w="820" w:type="pct"/>
            <w:vAlign w:val="center"/>
          </w:tcPr>
          <w:p>
            <w:pPr>
              <w:autoSpaceDE w:val="0"/>
              <w:autoSpaceDN w:val="0"/>
              <w:spacing w:line="240" w:lineRule="auto"/>
              <w:jc w:val="center"/>
              <w:rPr>
                <w:rFonts w:hint="default" w:ascii="Times New Roman" w:hAnsi="Times New Roman" w:cs="Times New Roman"/>
                <w:b/>
                <w:sz w:val="21"/>
                <w:szCs w:val="21"/>
                <w:lang w:val="zh-CN" w:bidi="zh-CN"/>
              </w:rPr>
            </w:pPr>
            <w:r>
              <w:rPr>
                <w:rFonts w:hint="default" w:ascii="Times New Roman" w:hAnsi="Times New Roman" w:cs="Times New Roman"/>
                <w:b/>
                <w:sz w:val="21"/>
                <w:szCs w:val="21"/>
                <w:lang w:val="en-US" w:bidi="zh-CN"/>
              </w:rPr>
              <w:t>数量</w:t>
            </w:r>
          </w:p>
        </w:tc>
        <w:tc>
          <w:tcPr>
            <w:tcW w:w="1034" w:type="pct"/>
            <w:vAlign w:val="center"/>
          </w:tcPr>
          <w:p>
            <w:pPr>
              <w:autoSpaceDE w:val="0"/>
              <w:autoSpaceDN w:val="0"/>
              <w:spacing w:line="240" w:lineRule="auto"/>
              <w:jc w:val="center"/>
              <w:rPr>
                <w:rFonts w:hint="default" w:ascii="Times New Roman" w:hAnsi="Times New Roman" w:cs="Times New Roman"/>
                <w:b/>
                <w:sz w:val="21"/>
                <w:szCs w:val="21"/>
                <w:lang w:val="zh-CN" w:bidi="zh-CN"/>
              </w:rPr>
            </w:pPr>
            <w:r>
              <w:rPr>
                <w:rFonts w:hint="default" w:ascii="Times New Roman" w:hAnsi="Times New Roman" w:cs="Times New Roman"/>
                <w:b/>
                <w:sz w:val="21"/>
                <w:szCs w:val="21"/>
                <w:lang w:val="zh-CN" w:bidi="zh-CN"/>
              </w:rPr>
              <w:t>储存位置</w:t>
            </w:r>
          </w:p>
        </w:tc>
        <w:tc>
          <w:tcPr>
            <w:tcW w:w="1059" w:type="pct"/>
            <w:vAlign w:val="center"/>
          </w:tcPr>
          <w:p>
            <w:pPr>
              <w:tabs>
                <w:tab w:val="left" w:pos="8156"/>
              </w:tabs>
              <w:autoSpaceDE w:val="0"/>
              <w:autoSpaceDN w:val="0"/>
              <w:spacing w:line="240" w:lineRule="auto"/>
              <w:jc w:val="center"/>
              <w:rPr>
                <w:rFonts w:hint="default" w:ascii="Times New Roman" w:hAnsi="Times New Roman" w:cs="Times New Roman"/>
                <w:b/>
                <w:sz w:val="21"/>
                <w:szCs w:val="21"/>
                <w:lang w:val="zh-CN" w:bidi="zh-CN"/>
              </w:rPr>
            </w:pPr>
            <w:r>
              <w:rPr>
                <w:rFonts w:hint="default" w:ascii="Times New Roman" w:hAnsi="Times New Roman" w:cs="Times New Roman"/>
                <w:b/>
                <w:sz w:val="21"/>
                <w:szCs w:val="21"/>
                <w:lang w:val="en-US" w:bidi="zh-CN"/>
              </w:rPr>
              <w:t>责任人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7"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1</w:t>
            </w:r>
          </w:p>
        </w:tc>
        <w:tc>
          <w:tcPr>
            <w:tcW w:w="1091"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正压式空气呼吸器</w:t>
            </w:r>
          </w:p>
        </w:tc>
        <w:tc>
          <w:tcPr>
            <w:tcW w:w="636"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2</w:t>
            </w:r>
            <w:r>
              <w:rPr>
                <w:rFonts w:hint="default" w:ascii="Times New Roman" w:hAnsi="Times New Roman" w:cs="Times New Roman"/>
                <w:sz w:val="21"/>
                <w:szCs w:val="21"/>
                <w:lang w:val="en-US" w:bidi="zh-CN"/>
              </w:rPr>
              <w:t>H</w:t>
            </w:r>
          </w:p>
        </w:tc>
        <w:tc>
          <w:tcPr>
            <w:tcW w:w="820"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2台</w:t>
            </w:r>
          </w:p>
        </w:tc>
        <w:tc>
          <w:tcPr>
            <w:tcW w:w="1034"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应急物资暂存库</w:t>
            </w:r>
          </w:p>
        </w:tc>
        <w:tc>
          <w:tcPr>
            <w:tcW w:w="1059" w:type="pct"/>
            <w:vAlign w:val="center"/>
          </w:tcPr>
          <w:p>
            <w:pPr>
              <w:autoSpaceDE w:val="0"/>
              <w:autoSpaceDN w:val="0"/>
              <w:spacing w:line="240" w:lineRule="auto"/>
              <w:jc w:val="center"/>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21"/>
                <w:szCs w:val="21"/>
                <w:lang w:val="en-US" w:bidi="zh-CN"/>
              </w:rPr>
              <w:t>刘汉生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7"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2</w:t>
            </w:r>
          </w:p>
        </w:tc>
        <w:tc>
          <w:tcPr>
            <w:tcW w:w="1091"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重型防化服</w:t>
            </w:r>
          </w:p>
        </w:tc>
        <w:tc>
          <w:tcPr>
            <w:tcW w:w="636"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 xml:space="preserve"> </w:t>
            </w:r>
          </w:p>
        </w:tc>
        <w:tc>
          <w:tcPr>
            <w:tcW w:w="820"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2套</w:t>
            </w:r>
          </w:p>
        </w:tc>
        <w:tc>
          <w:tcPr>
            <w:tcW w:w="1034" w:type="pct"/>
            <w:vAlign w:val="center"/>
          </w:tcPr>
          <w:p>
            <w:pPr>
              <w:autoSpaceDE w:val="0"/>
              <w:autoSpaceDN w:val="0"/>
              <w:spacing w:line="240" w:lineRule="auto"/>
              <w:jc w:val="center"/>
              <w:rPr>
                <w:rFonts w:hint="default" w:ascii="Times New Roman" w:hAnsi="Times New Roman" w:cs="Times New Roman"/>
                <w:kern w:val="0"/>
                <w:sz w:val="21"/>
                <w:szCs w:val="21"/>
                <w:lang w:val="zh-CN" w:bidi="zh-CN"/>
              </w:rPr>
            </w:pPr>
            <w:r>
              <w:rPr>
                <w:rFonts w:hint="default" w:ascii="Times New Roman" w:hAnsi="Times New Roman" w:cs="Times New Roman"/>
                <w:sz w:val="21"/>
                <w:szCs w:val="21"/>
                <w:lang w:val="zh-CN" w:bidi="zh-CN"/>
              </w:rPr>
              <w:t>应急物资暂存库</w:t>
            </w:r>
          </w:p>
        </w:tc>
        <w:tc>
          <w:tcPr>
            <w:tcW w:w="1059" w:type="pct"/>
            <w:vAlign w:val="center"/>
          </w:tcPr>
          <w:p>
            <w:pPr>
              <w:jc w:val="center"/>
              <w:rPr>
                <w:rFonts w:hint="default" w:ascii="Times New Roman" w:hAnsi="Times New Roman" w:cs="Times New Roman"/>
                <w:color w:val="000000" w:themeColor="text1"/>
              </w:rPr>
            </w:pPr>
            <w:r>
              <w:rPr>
                <w:rFonts w:hint="default" w:ascii="Times New Roman" w:hAnsi="Times New Roman" w:cs="Times New Roman"/>
                <w:color w:val="000000" w:themeColor="text1"/>
                <w:sz w:val="21"/>
                <w:szCs w:val="21"/>
                <w:lang w:val="zh-CN" w:bidi="zh-CN"/>
              </w:rPr>
              <w:t>刘汉生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7"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3</w:t>
            </w:r>
          </w:p>
        </w:tc>
        <w:tc>
          <w:tcPr>
            <w:tcW w:w="1091"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防化服</w:t>
            </w:r>
          </w:p>
        </w:tc>
        <w:tc>
          <w:tcPr>
            <w:tcW w:w="636"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 xml:space="preserve"> </w:t>
            </w:r>
          </w:p>
        </w:tc>
        <w:tc>
          <w:tcPr>
            <w:tcW w:w="820"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4套</w:t>
            </w:r>
          </w:p>
        </w:tc>
        <w:tc>
          <w:tcPr>
            <w:tcW w:w="1034" w:type="pct"/>
            <w:vAlign w:val="center"/>
          </w:tcPr>
          <w:p>
            <w:pPr>
              <w:autoSpaceDE w:val="0"/>
              <w:autoSpaceDN w:val="0"/>
              <w:spacing w:line="240" w:lineRule="auto"/>
              <w:jc w:val="center"/>
              <w:rPr>
                <w:rFonts w:hint="default" w:ascii="Times New Roman" w:hAnsi="Times New Roman" w:cs="Times New Roman"/>
                <w:kern w:val="0"/>
                <w:sz w:val="21"/>
                <w:szCs w:val="21"/>
                <w:lang w:val="zh-CN" w:bidi="zh-CN"/>
              </w:rPr>
            </w:pPr>
            <w:r>
              <w:rPr>
                <w:rFonts w:hint="eastAsia" w:cs="Times New Roman"/>
                <w:sz w:val="21"/>
                <w:szCs w:val="21"/>
                <w:lang w:val="zh-CN" w:bidi="zh-CN"/>
              </w:rPr>
              <w:t>安全部</w:t>
            </w:r>
          </w:p>
        </w:tc>
        <w:tc>
          <w:tcPr>
            <w:tcW w:w="1059" w:type="pct"/>
          </w:tcPr>
          <w:p>
            <w:pPr>
              <w:jc w:val="center"/>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21"/>
                <w:szCs w:val="21"/>
                <w:lang w:val="en-US" w:bidi="zh-CN"/>
              </w:rPr>
              <w:t>卞魏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7"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4</w:t>
            </w:r>
          </w:p>
        </w:tc>
        <w:tc>
          <w:tcPr>
            <w:tcW w:w="1091"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防毒面具</w:t>
            </w:r>
          </w:p>
        </w:tc>
        <w:tc>
          <w:tcPr>
            <w:tcW w:w="636"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 xml:space="preserve"> </w:t>
            </w:r>
          </w:p>
        </w:tc>
        <w:tc>
          <w:tcPr>
            <w:tcW w:w="820"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5套</w:t>
            </w:r>
          </w:p>
        </w:tc>
        <w:tc>
          <w:tcPr>
            <w:tcW w:w="1034" w:type="pct"/>
            <w:vAlign w:val="center"/>
          </w:tcPr>
          <w:p>
            <w:pPr>
              <w:autoSpaceDE w:val="0"/>
              <w:autoSpaceDN w:val="0"/>
              <w:spacing w:line="240" w:lineRule="auto"/>
              <w:jc w:val="center"/>
              <w:rPr>
                <w:rFonts w:hint="default" w:ascii="Times New Roman" w:hAnsi="Times New Roman" w:cs="Times New Roman"/>
                <w:kern w:val="0"/>
                <w:sz w:val="21"/>
                <w:szCs w:val="21"/>
                <w:lang w:val="zh-CN" w:bidi="zh-CN"/>
              </w:rPr>
            </w:pPr>
            <w:r>
              <w:rPr>
                <w:rFonts w:hint="eastAsia" w:cs="Times New Roman"/>
                <w:sz w:val="21"/>
                <w:szCs w:val="21"/>
                <w:lang w:val="zh-CN" w:bidi="zh-CN"/>
              </w:rPr>
              <w:t>安全部</w:t>
            </w:r>
          </w:p>
        </w:tc>
        <w:tc>
          <w:tcPr>
            <w:tcW w:w="1059" w:type="pct"/>
          </w:tcPr>
          <w:p>
            <w:pPr>
              <w:jc w:val="center"/>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21"/>
                <w:szCs w:val="21"/>
                <w:lang w:val="zh-CN" w:bidi="zh-CN"/>
              </w:rPr>
              <w:t>刘汉生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7"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5</w:t>
            </w:r>
          </w:p>
        </w:tc>
        <w:tc>
          <w:tcPr>
            <w:tcW w:w="1091"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消防头盔</w:t>
            </w:r>
          </w:p>
        </w:tc>
        <w:tc>
          <w:tcPr>
            <w:tcW w:w="636"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 xml:space="preserve"> </w:t>
            </w:r>
          </w:p>
        </w:tc>
        <w:tc>
          <w:tcPr>
            <w:tcW w:w="820"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5顶</w:t>
            </w:r>
          </w:p>
        </w:tc>
        <w:tc>
          <w:tcPr>
            <w:tcW w:w="1034" w:type="pct"/>
            <w:vAlign w:val="center"/>
          </w:tcPr>
          <w:p>
            <w:pPr>
              <w:autoSpaceDE w:val="0"/>
              <w:autoSpaceDN w:val="0"/>
              <w:spacing w:line="240" w:lineRule="auto"/>
              <w:jc w:val="center"/>
              <w:rPr>
                <w:rFonts w:hint="default" w:ascii="Times New Roman" w:hAnsi="Times New Roman" w:cs="Times New Roman"/>
                <w:kern w:val="0"/>
                <w:sz w:val="21"/>
                <w:szCs w:val="21"/>
                <w:lang w:val="zh-CN" w:bidi="zh-CN"/>
              </w:rPr>
            </w:pPr>
            <w:r>
              <w:rPr>
                <w:rFonts w:hint="eastAsia" w:cs="Times New Roman"/>
                <w:sz w:val="21"/>
                <w:szCs w:val="21"/>
                <w:lang w:val="zh-CN" w:bidi="zh-CN"/>
              </w:rPr>
              <w:t>安全部</w:t>
            </w:r>
          </w:p>
        </w:tc>
        <w:tc>
          <w:tcPr>
            <w:tcW w:w="1059" w:type="pct"/>
          </w:tcPr>
          <w:p>
            <w:pPr>
              <w:jc w:val="center"/>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21"/>
                <w:szCs w:val="21"/>
                <w:lang w:val="zh-CN" w:bidi="zh-CN"/>
              </w:rPr>
              <w:t>卞魏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7"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6</w:t>
            </w:r>
          </w:p>
        </w:tc>
        <w:tc>
          <w:tcPr>
            <w:tcW w:w="1091"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防化手套</w:t>
            </w:r>
          </w:p>
        </w:tc>
        <w:tc>
          <w:tcPr>
            <w:tcW w:w="636"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 xml:space="preserve"> </w:t>
            </w:r>
          </w:p>
        </w:tc>
        <w:tc>
          <w:tcPr>
            <w:tcW w:w="820"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4双</w:t>
            </w:r>
          </w:p>
        </w:tc>
        <w:tc>
          <w:tcPr>
            <w:tcW w:w="1034" w:type="pct"/>
            <w:vAlign w:val="center"/>
          </w:tcPr>
          <w:p>
            <w:pPr>
              <w:autoSpaceDE w:val="0"/>
              <w:autoSpaceDN w:val="0"/>
              <w:spacing w:line="240" w:lineRule="auto"/>
              <w:jc w:val="center"/>
              <w:rPr>
                <w:rFonts w:hint="default" w:ascii="Times New Roman" w:hAnsi="Times New Roman" w:cs="Times New Roman"/>
                <w:kern w:val="0"/>
                <w:sz w:val="21"/>
                <w:szCs w:val="21"/>
                <w:lang w:val="zh-CN" w:bidi="zh-CN"/>
              </w:rPr>
            </w:pPr>
            <w:r>
              <w:rPr>
                <w:rFonts w:hint="default" w:ascii="Times New Roman" w:hAnsi="Times New Roman" w:cs="Times New Roman"/>
                <w:sz w:val="21"/>
                <w:szCs w:val="21"/>
                <w:lang w:val="en-US" w:bidi="zh-CN"/>
              </w:rPr>
              <w:t>各车间</w:t>
            </w:r>
          </w:p>
        </w:tc>
        <w:tc>
          <w:tcPr>
            <w:tcW w:w="1059" w:type="pct"/>
          </w:tcPr>
          <w:p>
            <w:pPr>
              <w:jc w:val="center"/>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21"/>
                <w:szCs w:val="21"/>
                <w:lang w:val="zh-CN" w:bidi="zh-CN"/>
              </w:rPr>
              <w:t>刘汉生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7"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7</w:t>
            </w:r>
          </w:p>
        </w:tc>
        <w:tc>
          <w:tcPr>
            <w:tcW w:w="1091"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干粉灭火器</w:t>
            </w:r>
          </w:p>
        </w:tc>
        <w:tc>
          <w:tcPr>
            <w:tcW w:w="636"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 xml:space="preserve">MF/ABC8 </w:t>
            </w:r>
          </w:p>
        </w:tc>
        <w:tc>
          <w:tcPr>
            <w:tcW w:w="820"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50瓶</w:t>
            </w:r>
          </w:p>
        </w:tc>
        <w:tc>
          <w:tcPr>
            <w:tcW w:w="1034" w:type="pct"/>
            <w:vAlign w:val="center"/>
          </w:tcPr>
          <w:p>
            <w:pPr>
              <w:autoSpaceDE w:val="0"/>
              <w:autoSpaceDN w:val="0"/>
              <w:spacing w:line="240" w:lineRule="auto"/>
              <w:jc w:val="center"/>
              <w:rPr>
                <w:rFonts w:hint="default" w:ascii="Times New Roman" w:hAnsi="Times New Roman" w:cs="Times New Roman"/>
                <w:kern w:val="0"/>
                <w:sz w:val="21"/>
                <w:szCs w:val="21"/>
                <w:lang w:val="en-US" w:bidi="zh-CN"/>
              </w:rPr>
            </w:pPr>
            <w:r>
              <w:rPr>
                <w:rFonts w:hint="default" w:ascii="Times New Roman" w:hAnsi="Times New Roman" w:cs="Times New Roman"/>
                <w:sz w:val="21"/>
                <w:szCs w:val="21"/>
                <w:lang w:val="zh-CN" w:bidi="zh-CN"/>
              </w:rPr>
              <w:t>各车间、</w:t>
            </w:r>
            <w:r>
              <w:rPr>
                <w:rFonts w:hint="default" w:ascii="Times New Roman" w:hAnsi="Times New Roman" w:cs="Times New Roman"/>
                <w:sz w:val="21"/>
                <w:szCs w:val="21"/>
                <w:lang w:val="en-US" w:bidi="zh-CN"/>
              </w:rPr>
              <w:t>仓库、罐区</w:t>
            </w:r>
          </w:p>
        </w:tc>
        <w:tc>
          <w:tcPr>
            <w:tcW w:w="1059" w:type="pct"/>
          </w:tcPr>
          <w:p>
            <w:pPr>
              <w:jc w:val="center"/>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21"/>
                <w:szCs w:val="21"/>
                <w:lang w:val="zh-CN" w:bidi="zh-CN"/>
              </w:rPr>
              <w:t>卞魏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7"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8</w:t>
            </w:r>
          </w:p>
        </w:tc>
        <w:tc>
          <w:tcPr>
            <w:tcW w:w="1091"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气体检测仪</w:t>
            </w:r>
          </w:p>
        </w:tc>
        <w:tc>
          <w:tcPr>
            <w:tcW w:w="636"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 xml:space="preserve"> </w:t>
            </w:r>
          </w:p>
        </w:tc>
        <w:tc>
          <w:tcPr>
            <w:tcW w:w="820"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1台</w:t>
            </w:r>
          </w:p>
        </w:tc>
        <w:tc>
          <w:tcPr>
            <w:tcW w:w="1034" w:type="pct"/>
            <w:vAlign w:val="center"/>
          </w:tcPr>
          <w:p>
            <w:pPr>
              <w:autoSpaceDE w:val="0"/>
              <w:autoSpaceDN w:val="0"/>
              <w:spacing w:line="240" w:lineRule="auto"/>
              <w:jc w:val="center"/>
              <w:rPr>
                <w:rFonts w:hint="default" w:ascii="Times New Roman" w:hAnsi="Times New Roman" w:cs="Times New Roman"/>
                <w:kern w:val="0"/>
                <w:sz w:val="21"/>
                <w:szCs w:val="21"/>
                <w:lang w:val="zh-CN" w:bidi="zh-CN"/>
              </w:rPr>
            </w:pPr>
            <w:r>
              <w:rPr>
                <w:rFonts w:hint="eastAsia" w:cs="Times New Roman"/>
                <w:sz w:val="21"/>
                <w:szCs w:val="21"/>
                <w:lang w:val="zh-CN" w:bidi="zh-CN"/>
              </w:rPr>
              <w:t>安全部</w:t>
            </w:r>
          </w:p>
        </w:tc>
        <w:tc>
          <w:tcPr>
            <w:tcW w:w="1059" w:type="pct"/>
          </w:tcPr>
          <w:p>
            <w:pPr>
              <w:jc w:val="center"/>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21"/>
                <w:szCs w:val="21"/>
                <w:lang w:val="zh-CN" w:bidi="zh-CN"/>
              </w:rPr>
              <w:t>卞魏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7"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9</w:t>
            </w:r>
          </w:p>
        </w:tc>
        <w:tc>
          <w:tcPr>
            <w:tcW w:w="1091"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消防栓</w:t>
            </w:r>
          </w:p>
        </w:tc>
        <w:tc>
          <w:tcPr>
            <w:tcW w:w="636"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 xml:space="preserve">DN65 </w:t>
            </w:r>
          </w:p>
        </w:tc>
        <w:tc>
          <w:tcPr>
            <w:tcW w:w="820"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12个</w:t>
            </w:r>
          </w:p>
        </w:tc>
        <w:tc>
          <w:tcPr>
            <w:tcW w:w="1034" w:type="pct"/>
            <w:vAlign w:val="center"/>
          </w:tcPr>
          <w:p>
            <w:pPr>
              <w:autoSpaceDE w:val="0"/>
              <w:autoSpaceDN w:val="0"/>
              <w:spacing w:line="240" w:lineRule="auto"/>
              <w:jc w:val="center"/>
              <w:rPr>
                <w:rFonts w:hint="default" w:ascii="Times New Roman" w:hAnsi="Times New Roman" w:cs="Times New Roman"/>
                <w:kern w:val="0"/>
                <w:sz w:val="21"/>
                <w:szCs w:val="21"/>
                <w:lang w:val="zh-CN" w:bidi="zh-CN"/>
              </w:rPr>
            </w:pPr>
            <w:r>
              <w:rPr>
                <w:rFonts w:hint="default" w:ascii="Times New Roman" w:hAnsi="Times New Roman" w:cs="Times New Roman"/>
                <w:sz w:val="21"/>
                <w:szCs w:val="21"/>
                <w:lang w:val="zh-CN" w:bidi="zh-CN"/>
              </w:rPr>
              <w:t>各车间、仓库、罐区</w:t>
            </w:r>
          </w:p>
        </w:tc>
        <w:tc>
          <w:tcPr>
            <w:tcW w:w="1059" w:type="pct"/>
          </w:tcPr>
          <w:p>
            <w:pPr>
              <w:jc w:val="center"/>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21"/>
                <w:szCs w:val="21"/>
                <w:lang w:val="zh-CN" w:bidi="zh-CN"/>
              </w:rPr>
              <w:t>卞魏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7"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10</w:t>
            </w:r>
          </w:p>
        </w:tc>
        <w:tc>
          <w:tcPr>
            <w:tcW w:w="1091"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消防水枪</w:t>
            </w:r>
          </w:p>
        </w:tc>
        <w:tc>
          <w:tcPr>
            <w:tcW w:w="636"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 xml:space="preserve"> </w:t>
            </w:r>
          </w:p>
        </w:tc>
        <w:tc>
          <w:tcPr>
            <w:tcW w:w="820"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12个</w:t>
            </w:r>
          </w:p>
        </w:tc>
        <w:tc>
          <w:tcPr>
            <w:tcW w:w="1034" w:type="pct"/>
            <w:vAlign w:val="center"/>
          </w:tcPr>
          <w:p>
            <w:pPr>
              <w:autoSpaceDE w:val="0"/>
              <w:autoSpaceDN w:val="0"/>
              <w:spacing w:line="240" w:lineRule="auto"/>
              <w:jc w:val="center"/>
              <w:rPr>
                <w:rFonts w:hint="default" w:ascii="Times New Roman" w:hAnsi="Times New Roman" w:cs="Times New Roman"/>
                <w:kern w:val="0"/>
                <w:sz w:val="21"/>
                <w:szCs w:val="21"/>
                <w:lang w:val="zh-CN" w:bidi="zh-CN"/>
              </w:rPr>
            </w:pPr>
            <w:r>
              <w:rPr>
                <w:rFonts w:hint="default" w:ascii="Times New Roman" w:hAnsi="Times New Roman" w:cs="Times New Roman"/>
                <w:kern w:val="0"/>
                <w:sz w:val="21"/>
                <w:szCs w:val="21"/>
                <w:lang w:val="zh-CN" w:bidi="zh-CN"/>
              </w:rPr>
              <w:t>各车间、仓库、罐区</w:t>
            </w:r>
          </w:p>
        </w:tc>
        <w:tc>
          <w:tcPr>
            <w:tcW w:w="1059" w:type="pct"/>
          </w:tcPr>
          <w:p>
            <w:pPr>
              <w:jc w:val="center"/>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21"/>
                <w:szCs w:val="21"/>
                <w:lang w:val="zh-CN" w:bidi="zh-CN"/>
              </w:rPr>
              <w:t>刘汉生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7"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10</w:t>
            </w:r>
          </w:p>
        </w:tc>
        <w:tc>
          <w:tcPr>
            <w:tcW w:w="1091"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防酸雨靴</w:t>
            </w:r>
          </w:p>
        </w:tc>
        <w:tc>
          <w:tcPr>
            <w:tcW w:w="636"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 xml:space="preserve"> </w:t>
            </w:r>
          </w:p>
        </w:tc>
        <w:tc>
          <w:tcPr>
            <w:tcW w:w="820"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10双</w:t>
            </w:r>
          </w:p>
        </w:tc>
        <w:tc>
          <w:tcPr>
            <w:tcW w:w="1034" w:type="pct"/>
            <w:vAlign w:val="center"/>
          </w:tcPr>
          <w:p>
            <w:pPr>
              <w:autoSpaceDE w:val="0"/>
              <w:autoSpaceDN w:val="0"/>
              <w:spacing w:line="240" w:lineRule="auto"/>
              <w:jc w:val="center"/>
              <w:rPr>
                <w:rFonts w:hint="default" w:ascii="Times New Roman" w:hAnsi="Times New Roman" w:cs="Times New Roman"/>
                <w:sz w:val="21"/>
                <w:szCs w:val="21"/>
                <w:lang w:bidi="zh-CN"/>
              </w:rPr>
            </w:pPr>
            <w:r>
              <w:rPr>
                <w:rFonts w:hint="default" w:ascii="Times New Roman" w:hAnsi="Times New Roman" w:cs="Times New Roman"/>
                <w:sz w:val="21"/>
                <w:szCs w:val="21"/>
                <w:lang w:bidi="zh-CN"/>
              </w:rPr>
              <w:t>应急物资暂存库</w:t>
            </w:r>
          </w:p>
        </w:tc>
        <w:tc>
          <w:tcPr>
            <w:tcW w:w="1059" w:type="pct"/>
          </w:tcPr>
          <w:p>
            <w:pPr>
              <w:jc w:val="center"/>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21"/>
                <w:szCs w:val="21"/>
                <w:lang w:val="zh-CN" w:bidi="zh-CN"/>
              </w:rPr>
              <w:t>刘汉生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7"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11</w:t>
            </w:r>
          </w:p>
        </w:tc>
        <w:tc>
          <w:tcPr>
            <w:tcW w:w="1091"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药箱</w:t>
            </w:r>
          </w:p>
        </w:tc>
        <w:tc>
          <w:tcPr>
            <w:tcW w:w="636"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 xml:space="preserve"> </w:t>
            </w:r>
          </w:p>
        </w:tc>
        <w:tc>
          <w:tcPr>
            <w:tcW w:w="820"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1个</w:t>
            </w:r>
          </w:p>
        </w:tc>
        <w:tc>
          <w:tcPr>
            <w:tcW w:w="1034" w:type="pct"/>
          </w:tcPr>
          <w:p>
            <w:pPr>
              <w:autoSpaceDE w:val="0"/>
              <w:autoSpaceDN w:val="0"/>
              <w:spacing w:line="240" w:lineRule="auto"/>
              <w:jc w:val="center"/>
              <w:rPr>
                <w:rFonts w:hint="default" w:ascii="Times New Roman" w:hAnsi="Times New Roman" w:cs="Times New Roman"/>
                <w:kern w:val="0"/>
                <w:sz w:val="21"/>
                <w:szCs w:val="21"/>
                <w:lang w:val="zh-CN" w:bidi="zh-CN"/>
              </w:rPr>
            </w:pPr>
            <w:r>
              <w:rPr>
                <w:rFonts w:hint="default" w:ascii="Times New Roman" w:hAnsi="Times New Roman" w:cs="Times New Roman"/>
                <w:kern w:val="0"/>
                <w:sz w:val="21"/>
                <w:szCs w:val="21"/>
                <w:lang w:val="zh-CN" w:bidi="zh-CN"/>
              </w:rPr>
              <w:t>应急物资暂存库</w:t>
            </w:r>
          </w:p>
        </w:tc>
        <w:tc>
          <w:tcPr>
            <w:tcW w:w="1059" w:type="pct"/>
          </w:tcPr>
          <w:p>
            <w:pPr>
              <w:jc w:val="center"/>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21"/>
                <w:szCs w:val="21"/>
                <w:lang w:val="zh-CN" w:bidi="zh-CN"/>
              </w:rPr>
              <w:t>刘汉生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7"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12</w:t>
            </w:r>
          </w:p>
        </w:tc>
        <w:tc>
          <w:tcPr>
            <w:tcW w:w="1091"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消防水带</w:t>
            </w:r>
          </w:p>
        </w:tc>
        <w:tc>
          <w:tcPr>
            <w:tcW w:w="636"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65mm×20m</w:t>
            </w:r>
          </w:p>
        </w:tc>
        <w:tc>
          <w:tcPr>
            <w:tcW w:w="820"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12卷</w:t>
            </w:r>
          </w:p>
        </w:tc>
        <w:tc>
          <w:tcPr>
            <w:tcW w:w="1034" w:type="pct"/>
          </w:tcPr>
          <w:p>
            <w:pPr>
              <w:autoSpaceDE w:val="0"/>
              <w:autoSpaceDN w:val="0"/>
              <w:spacing w:line="240" w:lineRule="auto"/>
              <w:jc w:val="center"/>
              <w:rPr>
                <w:rFonts w:hint="default" w:ascii="Times New Roman" w:hAnsi="Times New Roman" w:cs="Times New Roman"/>
                <w:kern w:val="0"/>
                <w:sz w:val="21"/>
                <w:szCs w:val="21"/>
                <w:lang w:val="zh-CN" w:bidi="zh-CN"/>
              </w:rPr>
            </w:pPr>
            <w:r>
              <w:rPr>
                <w:rFonts w:hint="default" w:ascii="Times New Roman" w:hAnsi="Times New Roman" w:cs="Times New Roman"/>
                <w:kern w:val="0"/>
                <w:sz w:val="21"/>
                <w:szCs w:val="21"/>
                <w:lang w:val="zh-CN" w:bidi="zh-CN"/>
              </w:rPr>
              <w:t>各车间、仓库、罐区</w:t>
            </w:r>
          </w:p>
        </w:tc>
        <w:tc>
          <w:tcPr>
            <w:tcW w:w="1059" w:type="pct"/>
          </w:tcPr>
          <w:p>
            <w:pPr>
              <w:jc w:val="center"/>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21"/>
                <w:szCs w:val="21"/>
                <w:lang w:val="zh-CN" w:bidi="zh-CN"/>
              </w:rPr>
              <w:t>刘汉生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7"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13</w:t>
            </w:r>
          </w:p>
        </w:tc>
        <w:tc>
          <w:tcPr>
            <w:tcW w:w="1091"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消防应急灯</w:t>
            </w:r>
          </w:p>
        </w:tc>
        <w:tc>
          <w:tcPr>
            <w:tcW w:w="636" w:type="pct"/>
            <w:vAlign w:val="center"/>
          </w:tcPr>
          <w:p>
            <w:pPr>
              <w:autoSpaceDE w:val="0"/>
              <w:autoSpaceDN w:val="0"/>
              <w:spacing w:line="240" w:lineRule="auto"/>
              <w:jc w:val="center"/>
              <w:rPr>
                <w:rFonts w:hint="default" w:ascii="Times New Roman" w:hAnsi="Times New Roman" w:cs="Times New Roman"/>
                <w:sz w:val="21"/>
                <w:szCs w:val="21"/>
                <w:lang w:bidi="zh-CN"/>
              </w:rPr>
            </w:pPr>
            <w:r>
              <w:rPr>
                <w:rFonts w:hint="default" w:ascii="Times New Roman" w:hAnsi="Times New Roman" w:cs="Times New Roman"/>
                <w:sz w:val="21"/>
                <w:szCs w:val="21"/>
                <w:lang w:val="en-US" w:bidi="zh-CN"/>
              </w:rPr>
              <w:t xml:space="preserve"> </w:t>
            </w:r>
          </w:p>
        </w:tc>
        <w:tc>
          <w:tcPr>
            <w:tcW w:w="820"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15个</w:t>
            </w:r>
          </w:p>
        </w:tc>
        <w:tc>
          <w:tcPr>
            <w:tcW w:w="1034" w:type="pct"/>
          </w:tcPr>
          <w:p>
            <w:pPr>
              <w:autoSpaceDE w:val="0"/>
              <w:autoSpaceDN w:val="0"/>
              <w:spacing w:line="240" w:lineRule="auto"/>
              <w:jc w:val="center"/>
              <w:rPr>
                <w:rFonts w:hint="default" w:ascii="Times New Roman" w:hAnsi="Times New Roman" w:cs="Times New Roman"/>
                <w:kern w:val="0"/>
                <w:sz w:val="21"/>
                <w:szCs w:val="21"/>
                <w:lang w:val="zh-CN" w:bidi="zh-CN"/>
              </w:rPr>
            </w:pPr>
            <w:r>
              <w:rPr>
                <w:rFonts w:hint="default" w:ascii="Times New Roman" w:hAnsi="Times New Roman" w:cs="Times New Roman"/>
                <w:kern w:val="0"/>
                <w:sz w:val="21"/>
                <w:szCs w:val="21"/>
                <w:lang w:val="zh-CN" w:bidi="zh-CN"/>
              </w:rPr>
              <w:t>各车间、仓库、罐区</w:t>
            </w:r>
          </w:p>
        </w:tc>
        <w:tc>
          <w:tcPr>
            <w:tcW w:w="1059" w:type="pct"/>
          </w:tcPr>
          <w:p>
            <w:pPr>
              <w:jc w:val="center"/>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21"/>
                <w:szCs w:val="21"/>
                <w:lang w:val="zh-CN" w:bidi="zh-CN"/>
              </w:rPr>
              <w:t>刘汉生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7"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14</w:t>
            </w:r>
          </w:p>
        </w:tc>
        <w:tc>
          <w:tcPr>
            <w:tcW w:w="1091"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洗眼器</w:t>
            </w:r>
          </w:p>
        </w:tc>
        <w:tc>
          <w:tcPr>
            <w:tcW w:w="636"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 xml:space="preserve"> </w:t>
            </w:r>
          </w:p>
        </w:tc>
        <w:tc>
          <w:tcPr>
            <w:tcW w:w="820"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5套</w:t>
            </w:r>
          </w:p>
        </w:tc>
        <w:tc>
          <w:tcPr>
            <w:tcW w:w="1034" w:type="pct"/>
            <w:vAlign w:val="center"/>
          </w:tcPr>
          <w:p>
            <w:pPr>
              <w:autoSpaceDE w:val="0"/>
              <w:autoSpaceDN w:val="0"/>
              <w:spacing w:line="240" w:lineRule="auto"/>
              <w:jc w:val="center"/>
              <w:rPr>
                <w:rFonts w:hint="default" w:ascii="Times New Roman" w:hAnsi="Times New Roman" w:cs="Times New Roman"/>
                <w:sz w:val="21"/>
                <w:szCs w:val="21"/>
                <w:lang w:bidi="zh-CN"/>
              </w:rPr>
            </w:pPr>
            <w:r>
              <w:rPr>
                <w:rFonts w:hint="default" w:ascii="Times New Roman" w:hAnsi="Times New Roman" w:cs="Times New Roman"/>
                <w:sz w:val="21"/>
                <w:szCs w:val="21"/>
                <w:lang w:val="zh-CN" w:bidi="zh-CN"/>
              </w:rPr>
              <w:t>各车间、</w:t>
            </w:r>
            <w:r>
              <w:rPr>
                <w:rFonts w:hint="default" w:ascii="Times New Roman" w:hAnsi="Times New Roman" w:cs="Times New Roman"/>
                <w:sz w:val="21"/>
                <w:szCs w:val="21"/>
                <w:lang w:val="en-US" w:bidi="zh-CN"/>
              </w:rPr>
              <w:t>仓库、罐区</w:t>
            </w:r>
          </w:p>
        </w:tc>
        <w:tc>
          <w:tcPr>
            <w:tcW w:w="1059" w:type="pct"/>
          </w:tcPr>
          <w:p>
            <w:pPr>
              <w:jc w:val="center"/>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21"/>
                <w:szCs w:val="21"/>
                <w:lang w:val="zh-CN" w:bidi="zh-CN"/>
              </w:rPr>
              <w:t>刘汉生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7"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15</w:t>
            </w:r>
          </w:p>
        </w:tc>
        <w:tc>
          <w:tcPr>
            <w:tcW w:w="1091"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应急发电机组</w:t>
            </w:r>
          </w:p>
        </w:tc>
        <w:tc>
          <w:tcPr>
            <w:tcW w:w="636"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 xml:space="preserve">75kW </w:t>
            </w:r>
          </w:p>
        </w:tc>
        <w:tc>
          <w:tcPr>
            <w:tcW w:w="820" w:type="pct"/>
            <w:vAlign w:val="center"/>
          </w:tcPr>
          <w:p>
            <w:pPr>
              <w:autoSpaceDE w:val="0"/>
              <w:autoSpaceDN w:val="0"/>
              <w:spacing w:line="240" w:lineRule="auto"/>
              <w:jc w:val="center"/>
              <w:rPr>
                <w:rFonts w:hint="default" w:ascii="Times New Roman" w:hAnsi="Times New Roman" w:cs="Times New Roman"/>
                <w:sz w:val="21"/>
                <w:szCs w:val="21"/>
                <w:lang w:val="en-US" w:bidi="zh-CN"/>
              </w:rPr>
            </w:pPr>
            <w:r>
              <w:rPr>
                <w:rFonts w:hint="default" w:ascii="Times New Roman" w:hAnsi="Times New Roman" w:cs="Times New Roman"/>
                <w:sz w:val="21"/>
                <w:szCs w:val="21"/>
                <w:lang w:val="en-US" w:bidi="zh-CN"/>
              </w:rPr>
              <w:t>1台</w:t>
            </w:r>
          </w:p>
        </w:tc>
        <w:tc>
          <w:tcPr>
            <w:tcW w:w="1034" w:type="pct"/>
          </w:tcPr>
          <w:p>
            <w:pPr>
              <w:autoSpaceDE w:val="0"/>
              <w:autoSpaceDN w:val="0"/>
              <w:spacing w:line="240" w:lineRule="auto"/>
              <w:jc w:val="center"/>
              <w:rPr>
                <w:rFonts w:hint="default" w:ascii="Times New Roman" w:hAnsi="Times New Roman" w:cs="Times New Roman"/>
                <w:kern w:val="0"/>
                <w:sz w:val="21"/>
                <w:szCs w:val="21"/>
                <w:lang w:val="zh-CN" w:bidi="zh-CN"/>
              </w:rPr>
            </w:pPr>
            <w:r>
              <w:rPr>
                <w:rFonts w:hint="default" w:ascii="Times New Roman" w:hAnsi="Times New Roman" w:cs="Times New Roman"/>
                <w:kern w:val="0"/>
                <w:sz w:val="21"/>
                <w:szCs w:val="21"/>
                <w:lang w:val="en-US" w:bidi="zh-CN"/>
              </w:rPr>
              <w:t>配电间</w:t>
            </w:r>
          </w:p>
        </w:tc>
        <w:tc>
          <w:tcPr>
            <w:tcW w:w="1059" w:type="pct"/>
          </w:tcPr>
          <w:p>
            <w:pPr>
              <w:jc w:val="center"/>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21"/>
                <w:szCs w:val="21"/>
                <w:lang w:val="zh-CN" w:bidi="zh-CN"/>
              </w:rPr>
              <w:t>卞魏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7"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16</w:t>
            </w:r>
          </w:p>
        </w:tc>
        <w:tc>
          <w:tcPr>
            <w:tcW w:w="1091" w:type="pct"/>
            <w:vAlign w:val="center"/>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en-US" w:bidi="zh-CN"/>
              </w:rPr>
              <w:t>应急池</w:t>
            </w:r>
          </w:p>
        </w:tc>
        <w:tc>
          <w:tcPr>
            <w:tcW w:w="636" w:type="pct"/>
            <w:vAlign w:val="center"/>
          </w:tcPr>
          <w:p>
            <w:pPr>
              <w:autoSpaceDE w:val="0"/>
              <w:autoSpaceDN w:val="0"/>
              <w:spacing w:line="240" w:lineRule="auto"/>
              <w:jc w:val="center"/>
              <w:rPr>
                <w:rFonts w:hint="default" w:ascii="Times New Roman" w:hAnsi="Times New Roman" w:cs="Times New Roman"/>
                <w:sz w:val="21"/>
                <w:szCs w:val="21"/>
                <w:lang w:bidi="zh-CN"/>
              </w:rPr>
            </w:pPr>
            <w:r>
              <w:rPr>
                <w:rFonts w:hint="default" w:ascii="Times New Roman" w:hAnsi="Times New Roman" w:cs="Times New Roman"/>
                <w:sz w:val="21"/>
                <w:szCs w:val="21"/>
                <w:lang w:val="en-US" w:bidi="zh-CN"/>
              </w:rPr>
              <w:t xml:space="preserve"> </w:t>
            </w:r>
          </w:p>
        </w:tc>
        <w:tc>
          <w:tcPr>
            <w:tcW w:w="820" w:type="pct"/>
            <w:vAlign w:val="center"/>
          </w:tcPr>
          <w:p>
            <w:pPr>
              <w:autoSpaceDE w:val="0"/>
              <w:autoSpaceDN w:val="0"/>
              <w:spacing w:line="240" w:lineRule="auto"/>
              <w:jc w:val="center"/>
              <w:rPr>
                <w:rFonts w:hint="default" w:ascii="Times New Roman" w:hAnsi="Times New Roman" w:cs="Times New Roman"/>
                <w:sz w:val="21"/>
                <w:szCs w:val="21"/>
                <w:lang w:val="en-US" w:bidi="zh-CN"/>
              </w:rPr>
            </w:pPr>
          </w:p>
        </w:tc>
        <w:tc>
          <w:tcPr>
            <w:tcW w:w="1034" w:type="pct"/>
          </w:tcPr>
          <w:p>
            <w:pPr>
              <w:autoSpaceDE w:val="0"/>
              <w:autoSpaceDN w:val="0"/>
              <w:spacing w:line="240" w:lineRule="auto"/>
              <w:jc w:val="center"/>
              <w:rPr>
                <w:rFonts w:hint="default" w:ascii="Times New Roman" w:hAnsi="Times New Roman" w:cs="Times New Roman"/>
                <w:sz w:val="21"/>
                <w:szCs w:val="21"/>
                <w:lang w:val="zh-CN" w:bidi="zh-CN"/>
              </w:rPr>
            </w:pPr>
            <w:r>
              <w:rPr>
                <w:rFonts w:hint="default" w:ascii="Times New Roman" w:hAnsi="Times New Roman" w:cs="Times New Roman"/>
                <w:sz w:val="21"/>
                <w:szCs w:val="21"/>
                <w:lang w:val="zh-CN" w:bidi="zh-CN"/>
              </w:rPr>
              <w:t>厂区</w:t>
            </w:r>
          </w:p>
        </w:tc>
        <w:tc>
          <w:tcPr>
            <w:tcW w:w="1059" w:type="pct"/>
          </w:tcPr>
          <w:p>
            <w:pPr>
              <w:jc w:val="center"/>
              <w:rPr>
                <w:rFonts w:hint="default" w:ascii="Times New Roman" w:hAnsi="Times New Roman" w:cs="Times New Roman"/>
                <w:color w:val="000000" w:themeColor="text1"/>
                <w:sz w:val="21"/>
                <w:szCs w:val="21"/>
                <w:lang w:val="zh-CN" w:bidi="zh-CN"/>
              </w:rPr>
            </w:pPr>
            <w:r>
              <w:rPr>
                <w:rFonts w:hint="default" w:ascii="Times New Roman" w:hAnsi="Times New Roman" w:cs="Times New Roman"/>
                <w:color w:val="000000" w:themeColor="text1"/>
                <w:sz w:val="21"/>
                <w:szCs w:val="21"/>
                <w:lang w:val="en-US" w:bidi="zh-CN"/>
              </w:rPr>
              <w:t>易建梅</w:t>
            </w:r>
          </w:p>
        </w:tc>
      </w:tr>
    </w:tbl>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6</w:t>
      </w:r>
      <w:r>
        <w:rPr>
          <w:rFonts w:hint="default" w:ascii="Times New Roman" w:hAnsi="Times New Roman" w:cs="Times New Roman"/>
        </w:rPr>
        <w:t>.</w:t>
      </w:r>
      <w:bookmarkStart w:id="53" w:name="_Toc356831003"/>
      <w:bookmarkStart w:id="54" w:name="_Toc17575"/>
      <w:r>
        <w:rPr>
          <w:rFonts w:hint="default" w:ascii="Times New Roman" w:hAnsi="Times New Roman" w:cs="Times New Roman"/>
          <w:lang w:val="en-US" w:eastAsia="zh-CN"/>
        </w:rPr>
        <w:t>7</w:t>
      </w:r>
      <w:r>
        <w:rPr>
          <w:rFonts w:hint="default" w:ascii="Times New Roman" w:hAnsi="Times New Roman" w:cs="Times New Roman"/>
        </w:rPr>
        <w:t>安全标准化开展情况</w:t>
      </w:r>
    </w:p>
    <w:bookmarkEnd w:id="53"/>
    <w:bookmarkEnd w:id="54"/>
    <w:p>
      <w:pPr>
        <w:ind w:firstLine="560" w:firstLineChars="200"/>
        <w:rPr>
          <w:rFonts w:hint="default" w:ascii="Times New Roman" w:hAnsi="Times New Roman" w:cs="Times New Roman"/>
        </w:rPr>
      </w:pPr>
      <w:r>
        <w:rPr>
          <w:rFonts w:hint="default" w:ascii="Times New Roman" w:hAnsi="Times New Roman" w:cs="Times New Roman"/>
        </w:rPr>
        <w:t>按照国家有关危险化学品从业单位开展安全标准化工作规定，公司严格执行安全标准化工作方面的要求，积极做安全标准化基础性工作，并于</w:t>
      </w:r>
      <w:r>
        <w:rPr>
          <w:rFonts w:hint="default" w:ascii="Times New Roman" w:hAnsi="Times New Roman" w:cs="Times New Roman"/>
          <w:lang w:eastAsia="zh-CN"/>
        </w:rPr>
        <w:t>2022年11月25日</w:t>
      </w:r>
      <w:r>
        <w:rPr>
          <w:rFonts w:hint="default" w:ascii="Times New Roman" w:hAnsi="Times New Roman" w:cs="Times New Roman"/>
        </w:rPr>
        <w:t>，取得</w:t>
      </w:r>
      <w:r>
        <w:rPr>
          <w:rFonts w:hint="default" w:ascii="Times New Roman" w:hAnsi="Times New Roman" w:cs="Times New Roman"/>
          <w:lang w:eastAsia="zh-CN"/>
        </w:rPr>
        <w:t>上饶市应急管理局</w:t>
      </w:r>
      <w:r>
        <w:rPr>
          <w:rFonts w:hint="default" w:ascii="Times New Roman" w:hAnsi="Times New Roman" w:cs="Times New Roman"/>
        </w:rPr>
        <w:t>颁发的危险化学品从业单位安全标准化证书，有效期：</w:t>
      </w:r>
      <w:r>
        <w:rPr>
          <w:rFonts w:hint="default" w:ascii="Times New Roman" w:hAnsi="Times New Roman" w:cs="Times New Roman"/>
          <w:lang w:eastAsia="zh-CN"/>
        </w:rPr>
        <w:t>2022年11月25日</w:t>
      </w:r>
      <w:r>
        <w:rPr>
          <w:rFonts w:hint="default" w:ascii="Times New Roman" w:hAnsi="Times New Roman" w:cs="Times New Roman"/>
        </w:rPr>
        <w:t>-</w:t>
      </w:r>
      <w:r>
        <w:rPr>
          <w:rFonts w:hint="default" w:ascii="Times New Roman" w:hAnsi="Times New Roman" w:cs="Times New Roman"/>
          <w:lang w:eastAsia="zh-CN"/>
        </w:rPr>
        <w:t>2025年11月24日</w:t>
      </w:r>
      <w:r>
        <w:rPr>
          <w:rFonts w:hint="default" w:ascii="Times New Roman" w:hAnsi="Times New Roman" w:cs="Times New Roman"/>
        </w:rPr>
        <w:t>。</w:t>
      </w:r>
    </w:p>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6</w:t>
      </w:r>
      <w:r>
        <w:rPr>
          <w:rFonts w:hint="default" w:ascii="Times New Roman" w:hAnsi="Times New Roman" w:cs="Times New Roman"/>
        </w:rPr>
        <w:t>.</w:t>
      </w:r>
      <w:r>
        <w:rPr>
          <w:rFonts w:hint="default" w:ascii="Times New Roman" w:hAnsi="Times New Roman" w:cs="Times New Roman"/>
          <w:lang w:val="en-US" w:eastAsia="zh-CN"/>
        </w:rPr>
        <w:t>8</w:t>
      </w:r>
      <w:r>
        <w:rPr>
          <w:rFonts w:hint="default" w:ascii="Times New Roman" w:hAnsi="Times New Roman" w:cs="Times New Roman"/>
        </w:rPr>
        <w:t>工伤保险和安全生产责任险缴纳情况</w:t>
      </w:r>
    </w:p>
    <w:p>
      <w:pPr>
        <w:ind w:firstLine="560" w:firstLineChars="200"/>
        <w:rPr>
          <w:rFonts w:hint="default" w:ascii="Times New Roman" w:hAnsi="Times New Roman" w:cs="Times New Roman"/>
        </w:rPr>
      </w:pPr>
      <w:r>
        <w:rPr>
          <w:rFonts w:hint="default" w:ascii="Times New Roman" w:hAnsi="Times New Roman" w:cs="Times New Roman"/>
        </w:rPr>
        <w:t>根据《危险化学品生产企业安全生产许可证实施办法》（总局令第41号，第79号修订）第十八条和《安全生产法》（主席令［2021］第88号）第五十一条规定，</w:t>
      </w:r>
      <w:r>
        <w:rPr>
          <w:rFonts w:hint="default" w:ascii="Times New Roman" w:hAnsi="Times New Roman" w:cs="Times New Roman"/>
          <w:lang w:eastAsia="zh-CN"/>
        </w:rPr>
        <w:t>上饶市广氟医药化工有限公司</w:t>
      </w:r>
      <w:r>
        <w:rPr>
          <w:rFonts w:hint="default" w:ascii="Times New Roman" w:hAnsi="Times New Roman" w:cs="Times New Roman"/>
        </w:rPr>
        <w:t>为员工定期缴纳了工伤保险和安全生产责任险，明细详见附件。</w:t>
      </w:r>
    </w:p>
    <w:p>
      <w:pPr>
        <w:pStyle w:val="5"/>
        <w:ind w:left="56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6</w:t>
      </w:r>
      <w:r>
        <w:rPr>
          <w:rFonts w:hint="default" w:ascii="Times New Roman" w:hAnsi="Times New Roman" w:cs="Times New Roman"/>
        </w:rPr>
        <w:t>.</w:t>
      </w:r>
      <w:r>
        <w:rPr>
          <w:rFonts w:hint="default" w:ascii="Times New Roman" w:hAnsi="Times New Roman" w:cs="Times New Roman"/>
          <w:lang w:val="en-US" w:eastAsia="zh-CN"/>
        </w:rPr>
        <w:t>9</w:t>
      </w:r>
      <w:r>
        <w:rPr>
          <w:rFonts w:hint="default" w:ascii="Times New Roman" w:hAnsi="Times New Roman" w:cs="Times New Roman"/>
        </w:rPr>
        <w:t>其他</w:t>
      </w:r>
    </w:p>
    <w:p>
      <w:pPr>
        <w:numPr>
          <w:ilvl w:val="0"/>
          <w:numId w:val="16"/>
        </w:numPr>
        <w:ind w:firstLine="560" w:firstLineChars="200"/>
        <w:rPr>
          <w:rFonts w:hint="default" w:ascii="Times New Roman" w:hAnsi="Times New Roman" w:cs="Times New Roman"/>
        </w:rPr>
      </w:pPr>
      <w:r>
        <w:rPr>
          <w:rFonts w:hint="default" w:ascii="Times New Roman" w:hAnsi="Times New Roman" w:cs="Times New Roman"/>
        </w:rPr>
        <w:t>风险承诺告知</w:t>
      </w:r>
    </w:p>
    <w:p>
      <w:pPr>
        <w:ind w:firstLine="560" w:firstLineChars="200"/>
        <w:rPr>
          <w:rFonts w:hint="default" w:ascii="Times New Roman" w:hAnsi="Times New Roman" w:cs="Times New Roman"/>
        </w:rPr>
      </w:pPr>
      <w:r>
        <w:rPr>
          <w:rFonts w:hint="default" w:ascii="Times New Roman" w:hAnsi="Times New Roman" w:cs="Times New Roman"/>
        </w:rPr>
        <w:t>该公司在厂区大门设有风险承诺告知牌，主要显示内容为企业生产状态、企业承诺、企业风险等级等。</w:t>
      </w:r>
    </w:p>
    <w:p>
      <w:pPr>
        <w:numPr>
          <w:ilvl w:val="0"/>
          <w:numId w:val="16"/>
        </w:numPr>
        <w:ind w:firstLine="560" w:firstLineChars="200"/>
        <w:rPr>
          <w:rFonts w:hint="default" w:ascii="Times New Roman" w:hAnsi="Times New Roman" w:cs="Times New Roman"/>
        </w:rPr>
      </w:pPr>
      <w:r>
        <w:rPr>
          <w:rFonts w:hint="default" w:ascii="Times New Roman" w:hAnsi="Times New Roman" w:cs="Times New Roman"/>
        </w:rPr>
        <w:t>风险分级管控</w:t>
      </w:r>
    </w:p>
    <w:p>
      <w:pPr>
        <w:ind w:firstLine="560" w:firstLineChars="200"/>
        <w:rPr>
          <w:rFonts w:hint="default" w:ascii="Times New Roman" w:hAnsi="Times New Roman" w:cs="Times New Roman"/>
        </w:rPr>
      </w:pPr>
      <w:r>
        <w:rPr>
          <w:rFonts w:hint="default" w:ascii="Times New Roman" w:hAnsi="Times New Roman" w:cs="Times New Roman"/>
        </w:rPr>
        <w:t>该公司在厂区入口处设有安全风险四色分布图和设备设施作业风险清单。将</w:t>
      </w:r>
      <w:r>
        <w:rPr>
          <w:rFonts w:hint="default" w:ascii="Times New Roman" w:hAnsi="Times New Roman" w:cs="Times New Roman"/>
          <w:lang w:val="en-US" w:eastAsia="zh-CN"/>
        </w:rPr>
        <w:t>201原料罐区</w:t>
      </w:r>
      <w:r>
        <w:rPr>
          <w:rFonts w:hint="default" w:ascii="Times New Roman" w:hAnsi="Times New Roman" w:cs="Times New Roman"/>
        </w:rPr>
        <w:t>划分为黄色区域（一般风险）。</w:t>
      </w:r>
    </w:p>
    <w:p>
      <w:pPr>
        <w:ind w:firstLine="560" w:firstLineChars="200"/>
        <w:rPr>
          <w:rFonts w:hint="default" w:ascii="Times New Roman" w:hAnsi="Times New Roman" w:eastAsia="宋体" w:cs="Times New Roman"/>
          <w:lang w:val="en-US" w:eastAsia="zh-CN"/>
        </w:rPr>
      </w:pPr>
      <w:r>
        <w:rPr>
          <w:rFonts w:hint="eastAsia" w:cs="Times New Roman"/>
          <w:lang w:val="en-US" w:eastAsia="zh-CN"/>
        </w:rPr>
        <w:t>3、该公司于2022年9月进行了HAZOP分析，由江西赛达工程设计有限公司出具了HAZOP分析报告。</w:t>
      </w:r>
    </w:p>
    <w:p>
      <w:pPr>
        <w:pStyle w:val="4"/>
        <w:rPr>
          <w:rFonts w:hint="default" w:ascii="Times New Roman" w:hAnsi="Times New Roman" w:cs="Times New Roman"/>
        </w:rPr>
      </w:pPr>
      <w:bookmarkStart w:id="55" w:name="_Toc13487"/>
      <w:r>
        <w:rPr>
          <w:rFonts w:hint="default" w:ascii="Times New Roman" w:hAnsi="Times New Roman" w:cs="Times New Roman"/>
        </w:rPr>
        <w:t>2.</w:t>
      </w:r>
      <w:r>
        <w:rPr>
          <w:rFonts w:hint="default" w:ascii="Times New Roman" w:hAnsi="Times New Roman" w:cs="Times New Roman"/>
          <w:lang w:val="en-US" w:eastAsia="zh-CN"/>
        </w:rPr>
        <w:t>7</w:t>
      </w:r>
      <w:r>
        <w:rPr>
          <w:rFonts w:hint="default" w:ascii="Times New Roman" w:hAnsi="Times New Roman" w:cs="Times New Roman"/>
        </w:rPr>
        <w:t>安全投入</w:t>
      </w:r>
      <w:bookmarkEnd w:id="55"/>
    </w:p>
    <w:p>
      <w:pPr>
        <w:ind w:firstLine="560" w:firstLineChars="200"/>
        <w:rPr>
          <w:rFonts w:hint="default" w:ascii="Times New Roman" w:hAnsi="Times New Roman" w:cs="Times New Roman"/>
        </w:rPr>
      </w:pPr>
      <w:r>
        <w:rPr>
          <w:rFonts w:hint="default" w:ascii="Times New Roman" w:hAnsi="Times New Roman" w:cs="Times New Roman"/>
        </w:rPr>
        <w:t>企业每年根据有关规定提取相应的安全费用，安全投入主要为安全防护设施费用、安全设备设施费用、应急救援费用、安全教育培训费用、安全三同时等，企业安全投入符合有关要求，20</w:t>
      </w:r>
      <w:r>
        <w:rPr>
          <w:rFonts w:hint="default" w:ascii="Times New Roman" w:hAnsi="Times New Roman" w:cs="Times New Roman"/>
          <w:lang w:val="en-US" w:eastAsia="zh-CN"/>
        </w:rPr>
        <w:t>20</w:t>
      </w:r>
      <w:r>
        <w:rPr>
          <w:rFonts w:hint="default" w:ascii="Times New Roman" w:hAnsi="Times New Roman" w:cs="Times New Roman"/>
        </w:rPr>
        <w:t>-202</w:t>
      </w:r>
      <w:r>
        <w:rPr>
          <w:rFonts w:hint="default" w:ascii="Times New Roman" w:hAnsi="Times New Roman" w:cs="Times New Roman"/>
          <w:lang w:val="en-US" w:eastAsia="zh-CN"/>
        </w:rPr>
        <w:t>3</w:t>
      </w:r>
      <w:r>
        <w:rPr>
          <w:rFonts w:hint="default" w:ascii="Times New Roman" w:hAnsi="Times New Roman" w:cs="Times New Roman"/>
        </w:rPr>
        <w:t>年度安全投入如下表：</w:t>
      </w:r>
    </w:p>
    <w:p>
      <w:pPr>
        <w:jc w:val="center"/>
        <w:rPr>
          <w:rFonts w:hint="default" w:ascii="Times New Roman" w:hAnsi="Times New Roman" w:cs="Times New Roman"/>
        </w:rPr>
      </w:pPr>
      <w:r>
        <w:rPr>
          <w:rFonts w:hint="default" w:ascii="Times New Roman" w:hAnsi="Times New Roman" w:cs="Times New Roman"/>
        </w:rPr>
        <w:t>表2.7-1 公司安全设施投入费用一览表</w:t>
      </w:r>
    </w:p>
    <w:tbl>
      <w:tblPr>
        <w:tblStyle w:val="25"/>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00"/>
        <w:gridCol w:w="1264"/>
        <w:gridCol w:w="1266"/>
        <w:gridCol w:w="1125"/>
        <w:gridCol w:w="1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242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rPr>
            </w:pPr>
            <w:bookmarkStart w:id="56" w:name="_Toc28225"/>
            <w:r>
              <w:rPr>
                <w:rFonts w:hint="default" w:ascii="Times New Roman" w:hAnsi="Times New Roman" w:eastAsia="宋体" w:cs="Times New Roman"/>
                <w:b w:val="0"/>
                <w:bCs w:val="0"/>
                <w:kern w:val="0"/>
                <w:sz w:val="21"/>
                <w:szCs w:val="21"/>
              </w:rPr>
              <w:t>项　　目</w:t>
            </w:r>
          </w:p>
        </w:tc>
        <w:tc>
          <w:tcPr>
            <w:tcW w:w="68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rPr>
              <w:t>20</w:t>
            </w:r>
            <w:r>
              <w:rPr>
                <w:rFonts w:hint="default" w:ascii="Times New Roman" w:hAnsi="Times New Roman" w:cs="Times New Roman"/>
                <w:b w:val="0"/>
                <w:bCs w:val="0"/>
                <w:kern w:val="0"/>
                <w:sz w:val="21"/>
                <w:szCs w:val="21"/>
                <w:lang w:val="en-US" w:eastAsia="zh-CN"/>
              </w:rPr>
              <w:t>20</w:t>
            </w:r>
            <w:r>
              <w:rPr>
                <w:rFonts w:hint="default" w:ascii="Times New Roman" w:hAnsi="Times New Roman" w:eastAsia="宋体" w:cs="Times New Roman"/>
                <w:b w:val="0"/>
                <w:bCs w:val="0"/>
                <w:kern w:val="0"/>
                <w:sz w:val="21"/>
                <w:szCs w:val="21"/>
              </w:rPr>
              <w:t>年</w:t>
            </w:r>
          </w:p>
        </w:tc>
        <w:tc>
          <w:tcPr>
            <w:tcW w:w="68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rPr>
              <w:t>202</w:t>
            </w:r>
            <w:r>
              <w:rPr>
                <w:rFonts w:hint="default" w:ascii="Times New Roman" w:hAnsi="Times New Roman" w:cs="Times New Roman"/>
                <w:b w:val="0"/>
                <w:bCs w:val="0"/>
                <w:kern w:val="0"/>
                <w:sz w:val="21"/>
                <w:szCs w:val="21"/>
                <w:lang w:val="en-US" w:eastAsia="zh-CN"/>
              </w:rPr>
              <w:t>1</w:t>
            </w:r>
            <w:r>
              <w:rPr>
                <w:rFonts w:hint="default" w:ascii="Times New Roman" w:hAnsi="Times New Roman" w:eastAsia="宋体" w:cs="Times New Roman"/>
                <w:b w:val="0"/>
                <w:bCs w:val="0"/>
                <w:kern w:val="0"/>
                <w:sz w:val="21"/>
                <w:szCs w:val="21"/>
              </w:rPr>
              <w:t>年</w:t>
            </w:r>
          </w:p>
        </w:tc>
        <w:tc>
          <w:tcPr>
            <w:tcW w:w="60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rPr>
              <w:t>202</w:t>
            </w:r>
            <w:r>
              <w:rPr>
                <w:rFonts w:hint="default" w:ascii="Times New Roman" w:hAnsi="Times New Roman" w:cs="Times New Roman"/>
                <w:b w:val="0"/>
                <w:bCs w:val="0"/>
                <w:kern w:val="0"/>
                <w:sz w:val="21"/>
                <w:szCs w:val="21"/>
                <w:lang w:val="en-US" w:eastAsia="zh-CN"/>
              </w:rPr>
              <w:t>2</w:t>
            </w:r>
            <w:r>
              <w:rPr>
                <w:rFonts w:hint="default" w:ascii="Times New Roman" w:hAnsi="Times New Roman" w:eastAsia="宋体" w:cs="Times New Roman"/>
                <w:b w:val="0"/>
                <w:bCs w:val="0"/>
                <w:kern w:val="0"/>
                <w:sz w:val="21"/>
                <w:szCs w:val="21"/>
              </w:rPr>
              <w:t>年</w:t>
            </w:r>
          </w:p>
        </w:tc>
        <w:tc>
          <w:tcPr>
            <w:tcW w:w="60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rPr>
              <w:t>202</w:t>
            </w:r>
            <w:r>
              <w:rPr>
                <w:rFonts w:hint="default" w:ascii="Times New Roman" w:hAnsi="Times New Roman" w:cs="Times New Roman"/>
                <w:b w:val="0"/>
                <w:bCs w:val="0"/>
                <w:kern w:val="0"/>
                <w:sz w:val="21"/>
                <w:szCs w:val="21"/>
                <w:lang w:val="en-US" w:eastAsia="zh-CN"/>
              </w:rPr>
              <w:t>3</w:t>
            </w:r>
            <w:r>
              <w:rPr>
                <w:rFonts w:hint="default" w:ascii="Times New Roman" w:hAnsi="Times New Roman" w:eastAsia="宋体" w:cs="Times New Roman"/>
                <w:b w:val="0"/>
                <w:bCs w:val="0"/>
                <w:kern w:val="0"/>
                <w:sz w:val="21"/>
                <w:szCs w:val="21"/>
              </w:rPr>
              <w:t>年</w:t>
            </w:r>
            <w:r>
              <w:rPr>
                <w:rFonts w:hint="default" w:ascii="Times New Roman" w:hAnsi="Times New Roman" w:cs="Times New Roman"/>
                <w:b w:val="0"/>
                <w:bCs w:val="0"/>
                <w:kern w:val="0"/>
                <w:sz w:val="21"/>
                <w:szCs w:val="21"/>
                <w:lang w:eastAsia="zh-CN"/>
              </w:rPr>
              <w:t>（</w:t>
            </w:r>
            <w:r>
              <w:rPr>
                <w:rFonts w:hint="default" w:ascii="Times New Roman" w:hAnsi="Times New Roman" w:cs="Times New Roman"/>
                <w:b w:val="0"/>
                <w:bCs w:val="0"/>
                <w:kern w:val="0"/>
                <w:sz w:val="21"/>
                <w:szCs w:val="21"/>
                <w:lang w:val="en-US" w:eastAsia="zh-CN"/>
              </w:rPr>
              <w:t>1-6月）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242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rPr>
              <w:t>上一年营业收入：</w:t>
            </w:r>
          </w:p>
        </w:tc>
        <w:tc>
          <w:tcPr>
            <w:tcW w:w="68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2779</w:t>
            </w:r>
          </w:p>
        </w:tc>
        <w:tc>
          <w:tcPr>
            <w:tcW w:w="68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3255</w:t>
            </w:r>
          </w:p>
        </w:tc>
        <w:tc>
          <w:tcPr>
            <w:tcW w:w="60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3558</w:t>
            </w:r>
          </w:p>
        </w:tc>
        <w:tc>
          <w:tcPr>
            <w:tcW w:w="60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cs="Times New Roman"/>
                <w:b w:val="0"/>
                <w:bCs w:val="0"/>
                <w:kern w:val="0"/>
                <w:sz w:val="21"/>
                <w:szCs w:val="21"/>
                <w:lang w:val="en-US" w:eastAsia="zh-CN"/>
              </w:rPr>
              <w:t>5133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2424"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rPr>
              <w:t>应提安全生产费用：（按照企业安全生产费用提取和使用管理办法）</w:t>
            </w:r>
          </w:p>
        </w:tc>
        <w:tc>
          <w:tcPr>
            <w:tcW w:w="68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55.58</w:t>
            </w:r>
          </w:p>
        </w:tc>
        <w:tc>
          <w:tcPr>
            <w:tcW w:w="68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65.1</w:t>
            </w:r>
          </w:p>
        </w:tc>
        <w:tc>
          <w:tcPr>
            <w:tcW w:w="60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71.16</w:t>
            </w:r>
          </w:p>
        </w:tc>
        <w:tc>
          <w:tcPr>
            <w:tcW w:w="606"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cs="Times New Roman"/>
                <w:b w:val="0"/>
                <w:bCs w:val="0"/>
                <w:kern w:val="0"/>
                <w:sz w:val="21"/>
                <w:szCs w:val="21"/>
                <w:lang w:val="en-US" w:eastAsia="zh-CN"/>
              </w:rPr>
              <w:t>102.66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2424"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1、配备、维护、保养控制事故设施（泄压和止逆设施，紧急处理设施）</w:t>
            </w:r>
          </w:p>
        </w:tc>
        <w:tc>
          <w:tcPr>
            <w:tcW w:w="68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7.81</w:t>
            </w:r>
          </w:p>
        </w:tc>
        <w:tc>
          <w:tcPr>
            <w:tcW w:w="68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35.5</w:t>
            </w:r>
          </w:p>
        </w:tc>
        <w:tc>
          <w:tcPr>
            <w:tcW w:w="606"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49.6</w:t>
            </w:r>
          </w:p>
        </w:tc>
        <w:tc>
          <w:tcPr>
            <w:tcW w:w="606"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2424"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2、完善、改造和维护设备安全防护设施，作业场所防护设施、检测、报警设施，新增或者更换安全警示标识支出</w:t>
            </w:r>
          </w:p>
        </w:tc>
        <w:tc>
          <w:tcPr>
            <w:tcW w:w="681"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15.68</w:t>
            </w:r>
          </w:p>
        </w:tc>
        <w:tc>
          <w:tcPr>
            <w:tcW w:w="68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15.49</w:t>
            </w:r>
          </w:p>
        </w:tc>
        <w:tc>
          <w:tcPr>
            <w:tcW w:w="606"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6.3</w:t>
            </w:r>
          </w:p>
        </w:tc>
        <w:tc>
          <w:tcPr>
            <w:tcW w:w="606"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20.5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2424"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3、配备、维护、保养防止火灾蔓延设施，灭火</w:t>
            </w:r>
          </w:p>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设施，紧急个体处置设施，应急救援设施，逃生避难设施支出和应急演练支出</w:t>
            </w:r>
          </w:p>
        </w:tc>
        <w:tc>
          <w:tcPr>
            <w:tcW w:w="68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13.89</w:t>
            </w:r>
          </w:p>
        </w:tc>
        <w:tc>
          <w:tcPr>
            <w:tcW w:w="68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4.5</w:t>
            </w:r>
          </w:p>
        </w:tc>
        <w:tc>
          <w:tcPr>
            <w:tcW w:w="606"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4.6</w:t>
            </w:r>
          </w:p>
        </w:tc>
        <w:tc>
          <w:tcPr>
            <w:tcW w:w="606"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2424"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4、重大危险源和事故隐患评估、监控和整改支出</w:t>
            </w:r>
          </w:p>
        </w:tc>
        <w:tc>
          <w:tcPr>
            <w:tcW w:w="68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1.49</w:t>
            </w:r>
          </w:p>
        </w:tc>
        <w:tc>
          <w:tcPr>
            <w:tcW w:w="68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rPr>
              <w:t>4.6243</w:t>
            </w:r>
          </w:p>
        </w:tc>
        <w:tc>
          <w:tcPr>
            <w:tcW w:w="606"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0.2</w:t>
            </w:r>
          </w:p>
        </w:tc>
        <w:tc>
          <w:tcPr>
            <w:tcW w:w="606"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2424"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5、安全生产检查、评价（不包括新建、改建、扩建项目安全评价）、咨询和标准化建设支出；</w:t>
            </w:r>
          </w:p>
        </w:tc>
        <w:tc>
          <w:tcPr>
            <w:tcW w:w="681" w:type="pct"/>
            <w:tcBorders>
              <w:tl2br w:val="nil"/>
              <w:tr2bl w:val="nil"/>
            </w:tcBorders>
            <w:vAlign w:val="center"/>
          </w:tcPr>
          <w:p>
            <w:pPr>
              <w:widowControl/>
              <w:spacing w:line="240" w:lineRule="auto"/>
              <w:jc w:val="center"/>
              <w:textAlignment w:val="top"/>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2.72</w:t>
            </w:r>
          </w:p>
        </w:tc>
        <w:tc>
          <w:tcPr>
            <w:tcW w:w="682" w:type="pct"/>
            <w:tcBorders>
              <w:tl2br w:val="nil"/>
              <w:tr2bl w:val="nil"/>
            </w:tcBorders>
            <w:vAlign w:val="center"/>
          </w:tcPr>
          <w:p>
            <w:pPr>
              <w:widowControl/>
              <w:spacing w:line="240" w:lineRule="auto"/>
              <w:jc w:val="center"/>
              <w:textAlignment w:val="top"/>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3.7</w:t>
            </w:r>
          </w:p>
        </w:tc>
        <w:tc>
          <w:tcPr>
            <w:tcW w:w="606"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9.1</w:t>
            </w:r>
          </w:p>
        </w:tc>
        <w:tc>
          <w:tcPr>
            <w:tcW w:w="606"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424"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6、配备和更新现场作业人员安全防护用品支出</w:t>
            </w:r>
          </w:p>
        </w:tc>
        <w:tc>
          <w:tcPr>
            <w:tcW w:w="681" w:type="pct"/>
            <w:tcBorders>
              <w:tl2br w:val="nil"/>
              <w:tr2bl w:val="nil"/>
            </w:tcBorders>
            <w:vAlign w:val="center"/>
          </w:tcPr>
          <w:p>
            <w:pPr>
              <w:widowControl/>
              <w:spacing w:line="240" w:lineRule="auto"/>
              <w:jc w:val="center"/>
              <w:textAlignment w:val="top"/>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0.3</w:t>
            </w:r>
          </w:p>
        </w:tc>
        <w:tc>
          <w:tcPr>
            <w:tcW w:w="682" w:type="pct"/>
            <w:tcBorders>
              <w:tl2br w:val="nil"/>
              <w:tr2bl w:val="nil"/>
            </w:tcBorders>
            <w:vAlign w:val="center"/>
          </w:tcPr>
          <w:p>
            <w:pPr>
              <w:widowControl/>
              <w:spacing w:line="240" w:lineRule="auto"/>
              <w:jc w:val="center"/>
              <w:textAlignment w:val="top"/>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0.2</w:t>
            </w:r>
          </w:p>
        </w:tc>
        <w:tc>
          <w:tcPr>
            <w:tcW w:w="606"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0.25</w:t>
            </w:r>
          </w:p>
        </w:tc>
        <w:tc>
          <w:tcPr>
            <w:tcW w:w="606"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424"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7、安全生产宣传、教育、培训支出</w:t>
            </w:r>
          </w:p>
        </w:tc>
        <w:tc>
          <w:tcPr>
            <w:tcW w:w="681" w:type="pct"/>
            <w:tcBorders>
              <w:tl2br w:val="nil"/>
              <w:tr2bl w:val="nil"/>
            </w:tcBorders>
            <w:vAlign w:val="center"/>
          </w:tcPr>
          <w:p>
            <w:pPr>
              <w:widowControl/>
              <w:spacing w:line="240" w:lineRule="auto"/>
              <w:jc w:val="center"/>
              <w:textAlignment w:val="top"/>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0.9</w:t>
            </w:r>
          </w:p>
        </w:tc>
        <w:tc>
          <w:tcPr>
            <w:tcW w:w="682" w:type="pct"/>
            <w:tcBorders>
              <w:tl2br w:val="nil"/>
              <w:tr2bl w:val="nil"/>
            </w:tcBorders>
            <w:vAlign w:val="center"/>
          </w:tcPr>
          <w:p>
            <w:pPr>
              <w:widowControl/>
              <w:spacing w:line="240" w:lineRule="auto"/>
              <w:jc w:val="center"/>
              <w:textAlignment w:val="top"/>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0.3</w:t>
            </w:r>
          </w:p>
        </w:tc>
        <w:tc>
          <w:tcPr>
            <w:tcW w:w="606"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0.2</w:t>
            </w:r>
          </w:p>
        </w:tc>
        <w:tc>
          <w:tcPr>
            <w:tcW w:w="606"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424"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8、安全生产适用的新技术、新标准、新工艺、新装备的推广应用支出</w:t>
            </w:r>
          </w:p>
        </w:tc>
        <w:tc>
          <w:tcPr>
            <w:tcW w:w="68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kern w:val="0"/>
                <w:sz w:val="21"/>
                <w:szCs w:val="21"/>
                <w:lang w:val="en-US" w:eastAsia="zh-CN"/>
              </w:rPr>
              <w:t>0.6</w:t>
            </w:r>
          </w:p>
        </w:tc>
        <w:tc>
          <w:tcPr>
            <w:tcW w:w="68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rPr>
              <w:t>0</w:t>
            </w:r>
          </w:p>
        </w:tc>
        <w:tc>
          <w:tcPr>
            <w:tcW w:w="606"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0</w:t>
            </w:r>
          </w:p>
        </w:tc>
        <w:tc>
          <w:tcPr>
            <w:tcW w:w="606"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424"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9、安全检测、报警设施及特种设备检测检验支出</w:t>
            </w:r>
          </w:p>
        </w:tc>
        <w:tc>
          <w:tcPr>
            <w:tcW w:w="68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cs="Times New Roman"/>
                <w:b w:val="0"/>
                <w:bCs w:val="0"/>
                <w:kern w:val="0"/>
                <w:sz w:val="21"/>
                <w:szCs w:val="21"/>
                <w:lang w:val="en-US" w:eastAsia="zh-CN"/>
              </w:rPr>
              <w:t>9.69</w:t>
            </w:r>
          </w:p>
        </w:tc>
        <w:tc>
          <w:tcPr>
            <w:tcW w:w="68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cs="Times New Roman"/>
                <w:b w:val="0"/>
                <w:bCs w:val="0"/>
                <w:kern w:val="0"/>
                <w:sz w:val="21"/>
                <w:szCs w:val="21"/>
                <w:lang w:val="en-US" w:eastAsia="zh-CN"/>
              </w:rPr>
              <w:t>5.8</w:t>
            </w:r>
          </w:p>
        </w:tc>
        <w:tc>
          <w:tcPr>
            <w:tcW w:w="606" w:type="pct"/>
            <w:tcBorders>
              <w:tl2br w:val="nil"/>
              <w:tr2bl w:val="nil"/>
            </w:tcBorders>
            <w:noWrap/>
            <w:vAlign w:val="center"/>
          </w:tcPr>
          <w:p>
            <w:pPr>
              <w:spacing w:line="240" w:lineRule="auto"/>
              <w:jc w:val="center"/>
              <w:textAlignment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cs="Times New Roman"/>
                <w:b w:val="0"/>
                <w:bCs w:val="0"/>
                <w:kern w:val="0"/>
                <w:sz w:val="21"/>
                <w:szCs w:val="21"/>
                <w:lang w:val="en-US" w:eastAsia="zh-CN"/>
              </w:rPr>
              <w:t>6.3</w:t>
            </w:r>
          </w:p>
        </w:tc>
        <w:tc>
          <w:tcPr>
            <w:tcW w:w="606" w:type="pct"/>
            <w:tcBorders>
              <w:tl2br w:val="nil"/>
              <w:tr2bl w:val="nil"/>
            </w:tcBorders>
            <w:vAlign w:val="center"/>
          </w:tcPr>
          <w:p>
            <w:pPr>
              <w:spacing w:line="240" w:lineRule="auto"/>
              <w:jc w:val="center"/>
              <w:textAlignment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cs="Times New Roman"/>
                <w:b w:val="0"/>
                <w:bCs w:val="0"/>
                <w:kern w:val="0"/>
                <w:sz w:val="21"/>
                <w:szCs w:val="21"/>
                <w:lang w:val="en-US" w:eastAsia="zh-CN"/>
              </w:rPr>
              <w:t>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2424"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10、其他与安全生产直接相关的支出</w:t>
            </w:r>
          </w:p>
        </w:tc>
        <w:tc>
          <w:tcPr>
            <w:tcW w:w="681"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cs="Times New Roman"/>
                <w:b w:val="0"/>
                <w:bCs w:val="0"/>
                <w:kern w:val="0"/>
                <w:sz w:val="21"/>
                <w:szCs w:val="21"/>
                <w:lang w:val="en-US" w:eastAsia="zh-CN"/>
              </w:rPr>
              <w:t>2.5</w:t>
            </w:r>
          </w:p>
        </w:tc>
        <w:tc>
          <w:tcPr>
            <w:tcW w:w="682" w:type="pct"/>
            <w:tcBorders>
              <w:tl2br w:val="nil"/>
              <w:tr2bl w:val="nil"/>
            </w:tcBorders>
            <w:vAlign w:val="center"/>
          </w:tcPr>
          <w:p>
            <w:pPr>
              <w:widowControl/>
              <w:spacing w:line="240" w:lineRule="auto"/>
              <w:jc w:val="center"/>
              <w:textAlignment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cs="Times New Roman"/>
                <w:b w:val="0"/>
                <w:bCs w:val="0"/>
                <w:kern w:val="0"/>
                <w:sz w:val="21"/>
                <w:szCs w:val="21"/>
                <w:lang w:val="en-US" w:eastAsia="zh-CN"/>
              </w:rPr>
              <w:t>1.4</w:t>
            </w:r>
          </w:p>
        </w:tc>
        <w:tc>
          <w:tcPr>
            <w:tcW w:w="606" w:type="pct"/>
            <w:tcBorders>
              <w:tl2br w:val="nil"/>
              <w:tr2bl w:val="nil"/>
            </w:tcBorders>
            <w:vAlign w:val="center"/>
          </w:tcPr>
          <w:p>
            <w:pPr>
              <w:spacing w:line="240" w:lineRule="auto"/>
              <w:jc w:val="center"/>
              <w:textAlignment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cs="Times New Roman"/>
                <w:b w:val="0"/>
                <w:bCs w:val="0"/>
                <w:kern w:val="0"/>
                <w:sz w:val="21"/>
                <w:szCs w:val="21"/>
                <w:lang w:val="en-US" w:eastAsia="zh-CN"/>
              </w:rPr>
              <w:t>1.3</w:t>
            </w:r>
          </w:p>
        </w:tc>
        <w:tc>
          <w:tcPr>
            <w:tcW w:w="606" w:type="pct"/>
            <w:tcBorders>
              <w:tl2br w:val="nil"/>
              <w:tr2bl w:val="nil"/>
            </w:tcBorders>
            <w:vAlign w:val="center"/>
          </w:tcPr>
          <w:p>
            <w:pPr>
              <w:spacing w:line="240" w:lineRule="auto"/>
              <w:jc w:val="center"/>
              <w:textAlignment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cs="Times New Roman"/>
                <w:b w:val="0"/>
                <w:bCs w:val="0"/>
                <w:kern w:val="0"/>
                <w:sz w:val="21"/>
                <w:szCs w:val="21"/>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2424" w:type="pct"/>
            <w:tcBorders>
              <w:tl2br w:val="nil"/>
              <w:tr2bl w:val="nil"/>
            </w:tcBorders>
            <w:noWrap/>
            <w:vAlign w:val="center"/>
          </w:tcPr>
          <w:p>
            <w:pPr>
              <w:widowControl/>
              <w:spacing w:line="240" w:lineRule="auto"/>
              <w:jc w:val="center"/>
              <w:textAlignment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kern w:val="0"/>
                <w:sz w:val="21"/>
                <w:szCs w:val="21"/>
              </w:rPr>
              <w:t>合计：</w:t>
            </w:r>
          </w:p>
        </w:tc>
        <w:tc>
          <w:tcPr>
            <w:tcW w:w="681" w:type="pct"/>
            <w:tcBorders>
              <w:tl2br w:val="nil"/>
              <w:tr2bl w:val="nil"/>
            </w:tcBorders>
            <w:noWrap/>
            <w:vAlign w:val="center"/>
          </w:tcPr>
          <w:p>
            <w:pPr>
              <w:widowControl/>
              <w:spacing w:line="240" w:lineRule="auto"/>
              <w:jc w:val="center"/>
              <w:textAlignment w:val="top"/>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47.77</w:t>
            </w:r>
          </w:p>
        </w:tc>
        <w:tc>
          <w:tcPr>
            <w:tcW w:w="682" w:type="pct"/>
            <w:tcBorders>
              <w:tl2br w:val="nil"/>
              <w:tr2bl w:val="nil"/>
            </w:tcBorders>
            <w:noWrap/>
            <w:vAlign w:val="center"/>
          </w:tcPr>
          <w:p>
            <w:pPr>
              <w:widowControl/>
              <w:spacing w:line="240" w:lineRule="auto"/>
              <w:jc w:val="center"/>
              <w:textAlignment w:val="top"/>
              <w:rPr>
                <w:rFonts w:hint="default" w:ascii="Times New Roman" w:hAnsi="Times New Roman" w:eastAsia="宋体" w:cs="Times New Roman"/>
                <w:b w:val="0"/>
                <w:bCs w:val="0"/>
                <w:kern w:val="0"/>
                <w:sz w:val="21"/>
                <w:szCs w:val="21"/>
                <w:lang w:val="en-US" w:eastAsia="zh-CN"/>
              </w:rPr>
            </w:pPr>
            <w:r>
              <w:rPr>
                <w:rFonts w:hint="default" w:ascii="Times New Roman" w:hAnsi="Times New Roman" w:cs="Times New Roman"/>
                <w:b w:val="0"/>
                <w:bCs w:val="0"/>
                <w:kern w:val="0"/>
                <w:sz w:val="21"/>
                <w:szCs w:val="21"/>
                <w:lang w:val="en-US" w:eastAsia="zh-CN"/>
              </w:rPr>
              <w:t>66.99</w:t>
            </w:r>
          </w:p>
        </w:tc>
        <w:tc>
          <w:tcPr>
            <w:tcW w:w="606" w:type="pct"/>
            <w:tcBorders>
              <w:tl2br w:val="nil"/>
              <w:tr2bl w:val="nil"/>
            </w:tcBorders>
            <w:noWrap/>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78.05</w:t>
            </w:r>
          </w:p>
        </w:tc>
        <w:tc>
          <w:tcPr>
            <w:tcW w:w="606" w:type="pct"/>
            <w:tcBorders>
              <w:tl2br w:val="nil"/>
              <w:tr2bl w:val="nil"/>
            </w:tcBorders>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cs="Times New Roman"/>
                <w:b w:val="0"/>
                <w:bCs w:val="0"/>
                <w:sz w:val="21"/>
                <w:szCs w:val="21"/>
                <w:lang w:val="en-US" w:eastAsia="zh-CN"/>
              </w:rPr>
              <w:t>58.58</w:t>
            </w:r>
          </w:p>
        </w:tc>
      </w:tr>
    </w:tbl>
    <w:p>
      <w:pPr>
        <w:pStyle w:val="4"/>
        <w:spacing w:line="580" w:lineRule="exact"/>
        <w:rPr>
          <w:rFonts w:hint="default" w:ascii="Times New Roman" w:hAnsi="Times New Roman" w:cs="Times New Roman"/>
        </w:rPr>
      </w:pPr>
      <w:bookmarkStart w:id="57" w:name="_Toc18432"/>
      <w:r>
        <w:rPr>
          <w:rFonts w:hint="default" w:ascii="Times New Roman" w:hAnsi="Times New Roman" w:cs="Times New Roman"/>
        </w:rPr>
        <w:t>2.8主要安全设施和技术措施</w:t>
      </w:r>
      <w:bookmarkEnd w:id="57"/>
    </w:p>
    <w:p>
      <w:pPr>
        <w:spacing w:line="360" w:lineRule="auto"/>
        <w:ind w:firstLine="574" w:firstLineChars="205"/>
        <w:rPr>
          <w:rFonts w:hint="default" w:ascii="Times New Roman" w:hAnsi="Times New Roman" w:cs="Times New Roman"/>
        </w:rPr>
      </w:pPr>
      <w:r>
        <w:rPr>
          <w:rFonts w:hint="default" w:ascii="Times New Roman" w:hAnsi="Times New Roman" w:cs="Times New Roman"/>
        </w:rPr>
        <w:t>1、建构筑物</w:t>
      </w:r>
    </w:p>
    <w:p>
      <w:pPr>
        <w:spacing w:line="360" w:lineRule="auto"/>
        <w:ind w:firstLine="574" w:firstLineChars="205"/>
        <w:rPr>
          <w:rFonts w:hint="default" w:ascii="Times New Roman" w:hAnsi="Times New Roman" w:cs="Times New Roman"/>
        </w:rPr>
      </w:pPr>
      <w:r>
        <w:rPr>
          <w:rFonts w:hint="default" w:ascii="Times New Roman" w:hAnsi="Times New Roman" w:cs="Times New Roman"/>
        </w:rPr>
        <w:t>1）周边环境及建构筑物平面布置符合安全防火间距要求。</w:t>
      </w:r>
    </w:p>
    <w:p>
      <w:pPr>
        <w:spacing w:line="360" w:lineRule="auto"/>
        <w:ind w:firstLine="574" w:firstLineChars="205"/>
        <w:rPr>
          <w:rFonts w:hint="default" w:ascii="Times New Roman" w:hAnsi="Times New Roman" w:cs="Times New Roman"/>
        </w:rPr>
      </w:pPr>
      <w:r>
        <w:rPr>
          <w:rFonts w:hint="default" w:ascii="Times New Roman" w:hAnsi="Times New Roman" w:cs="Times New Roman"/>
        </w:rPr>
        <w:t>2）各生产厂房、</w:t>
      </w:r>
      <w:r>
        <w:rPr>
          <w:rFonts w:hint="default" w:ascii="Times New Roman" w:hAnsi="Times New Roman" w:cs="Times New Roman"/>
          <w:lang w:val="en-US" w:eastAsia="zh-CN"/>
        </w:rPr>
        <w:t>仓库</w:t>
      </w:r>
      <w:r>
        <w:rPr>
          <w:rFonts w:hint="default" w:ascii="Times New Roman" w:hAnsi="Times New Roman" w:cs="Times New Roman"/>
        </w:rPr>
        <w:t>、变配电间等均为耐火等级满足要求。</w:t>
      </w:r>
    </w:p>
    <w:p>
      <w:pPr>
        <w:spacing w:line="360" w:lineRule="auto"/>
        <w:ind w:firstLine="565" w:firstLineChars="202"/>
        <w:rPr>
          <w:rFonts w:hint="default" w:ascii="Times New Roman" w:hAnsi="Times New Roman" w:cs="Times New Roman"/>
        </w:rPr>
      </w:pPr>
      <w:r>
        <w:rPr>
          <w:rFonts w:hint="default" w:ascii="Times New Roman" w:hAnsi="Times New Roman" w:cs="Times New Roman"/>
        </w:rPr>
        <w:t>3）各建筑物疏散楼梯、通道、安全出口的位置、数量、疏散距离满足安全疏散防火要求。</w:t>
      </w:r>
    </w:p>
    <w:p>
      <w:pPr>
        <w:spacing w:line="360" w:lineRule="auto"/>
        <w:ind w:firstLine="565" w:firstLineChars="202"/>
        <w:rPr>
          <w:rFonts w:hint="default" w:ascii="Times New Roman" w:hAnsi="Times New Roman" w:cs="Times New Roman"/>
        </w:rPr>
      </w:pPr>
      <w:r>
        <w:rPr>
          <w:rFonts w:hint="default" w:ascii="Times New Roman" w:hAnsi="Times New Roman" w:cs="Times New Roman"/>
        </w:rPr>
        <w:t>4）各建构筑物按6度进行抗震设防。在建（构）筑物和设备等设计中按当地风载荷和雪载荷进行结构设计。</w:t>
      </w:r>
    </w:p>
    <w:p>
      <w:pPr>
        <w:spacing w:line="360" w:lineRule="auto"/>
        <w:ind w:firstLine="565" w:firstLineChars="202"/>
        <w:rPr>
          <w:rFonts w:hint="default" w:ascii="Times New Roman" w:hAnsi="Times New Roman" w:cs="Times New Roman"/>
          <w:lang w:val="zh-CN"/>
        </w:rPr>
      </w:pPr>
      <w:r>
        <w:rPr>
          <w:rFonts w:hint="default" w:ascii="Times New Roman" w:hAnsi="Times New Roman" w:cs="Times New Roman"/>
        </w:rPr>
        <w:t>5）厂区消防通道为环形消防通道，消防道路宽度、转弯半径能满足消防要求。</w:t>
      </w:r>
    </w:p>
    <w:p>
      <w:pPr>
        <w:spacing w:line="360" w:lineRule="auto"/>
        <w:ind w:firstLine="565" w:firstLineChars="202"/>
        <w:rPr>
          <w:rFonts w:hint="default" w:ascii="Times New Roman" w:hAnsi="Times New Roman" w:cs="Times New Roman"/>
        </w:rPr>
      </w:pPr>
      <w:r>
        <w:rPr>
          <w:rFonts w:hint="default" w:ascii="Times New Roman" w:hAnsi="Times New Roman" w:cs="Times New Roman"/>
        </w:rPr>
        <w:t>2、设备、工艺控制措施</w:t>
      </w:r>
    </w:p>
    <w:p>
      <w:pPr>
        <w:spacing w:line="360" w:lineRule="auto"/>
        <w:ind w:firstLine="560" w:firstLineChars="200"/>
        <w:rPr>
          <w:rFonts w:hint="default" w:ascii="Times New Roman" w:hAnsi="Times New Roman" w:cs="Times New Roman"/>
        </w:rPr>
      </w:pPr>
      <w:r>
        <w:rPr>
          <w:rFonts w:hint="default" w:ascii="Times New Roman" w:hAnsi="Times New Roman" w:cs="Times New Roman"/>
        </w:rPr>
        <w:t>1）设备材质的选型，垫片和密封材质与内部介质相适应。　</w:t>
      </w:r>
    </w:p>
    <w:p>
      <w:pPr>
        <w:autoSpaceDE w:val="0"/>
        <w:autoSpaceDN w:val="0"/>
        <w:adjustRightInd w:val="0"/>
        <w:spacing w:line="360" w:lineRule="auto"/>
        <w:ind w:firstLine="560"/>
        <w:jc w:val="left"/>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eastAsia="zh-CN"/>
        </w:rPr>
        <w:t>上饶市广氟医药化工有限公司</w:t>
      </w:r>
      <w:r>
        <w:rPr>
          <w:rFonts w:hint="default" w:ascii="Times New Roman" w:hAnsi="Times New Roman" w:cs="Times New Roman"/>
        </w:rPr>
        <w:t>生产装置采用</w:t>
      </w:r>
      <w:r>
        <w:rPr>
          <w:rFonts w:hint="default" w:ascii="Times New Roman" w:hAnsi="Times New Roman" w:cs="Times New Roman"/>
          <w:lang w:val="en-US" w:eastAsia="zh-CN"/>
        </w:rPr>
        <w:t>PLC</w:t>
      </w:r>
      <w:r>
        <w:rPr>
          <w:rFonts w:hint="default" w:ascii="Times New Roman" w:hAnsi="Times New Roman" w:cs="Times New Roman"/>
        </w:rPr>
        <w:t>控制系统，对重要的参数引至操作室集中显示、记录、调节、报警。</w:t>
      </w:r>
    </w:p>
    <w:p>
      <w:pPr>
        <w:spacing w:line="360" w:lineRule="auto"/>
        <w:ind w:firstLine="570"/>
        <w:rPr>
          <w:rFonts w:hint="default" w:ascii="Times New Roman" w:hAnsi="Times New Roman" w:cs="Times New Roman"/>
        </w:rPr>
      </w:pPr>
      <w:r>
        <w:rPr>
          <w:rFonts w:hint="default" w:ascii="Times New Roman" w:hAnsi="Times New Roman" w:cs="Times New Roman"/>
        </w:rPr>
        <w:t>生产装置设有现场仪表检测。</w:t>
      </w:r>
    </w:p>
    <w:p>
      <w:pPr>
        <w:spacing w:line="360" w:lineRule="auto"/>
        <w:ind w:firstLine="560" w:firstLineChars="200"/>
        <w:rPr>
          <w:rFonts w:hint="default" w:ascii="Times New Roman" w:hAnsi="Times New Roman" w:cs="Times New Roman"/>
        </w:rPr>
      </w:pPr>
      <w:r>
        <w:rPr>
          <w:rFonts w:hint="default" w:ascii="Times New Roman" w:hAnsi="Times New Roman" w:cs="Times New Roman"/>
        </w:rPr>
        <w:t>辅助装置如空压机、水泵等，选用普通型压力表，温度表进行测量。</w:t>
      </w:r>
    </w:p>
    <w:p>
      <w:pPr>
        <w:spacing w:line="360" w:lineRule="auto"/>
        <w:ind w:firstLine="565" w:firstLineChars="202"/>
        <w:rPr>
          <w:rFonts w:hint="default" w:ascii="Times New Roman" w:hAnsi="Times New Roman" w:cs="Times New Roman"/>
        </w:rPr>
      </w:pPr>
      <w:r>
        <w:rPr>
          <w:rFonts w:hint="default" w:ascii="Times New Roman" w:hAnsi="Times New Roman" w:cs="Times New Roman"/>
          <w:lang w:eastAsia="zh-CN"/>
        </w:rPr>
        <w:t>上饶市广氟医药化工有限公司</w:t>
      </w:r>
      <w:r>
        <w:rPr>
          <w:rFonts w:hint="default" w:ascii="Times New Roman" w:hAnsi="Times New Roman" w:cs="Times New Roman"/>
        </w:rPr>
        <w:t>设置视频监控系统，用于生产场所、罐区的监视、安全保卫等。</w:t>
      </w:r>
    </w:p>
    <w:p>
      <w:pPr>
        <w:spacing w:line="360" w:lineRule="auto"/>
        <w:ind w:firstLine="570"/>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lang w:val="en-US" w:eastAsia="zh-CN"/>
        </w:rPr>
        <w:t>空气储罐等压力容器</w:t>
      </w:r>
      <w:r>
        <w:rPr>
          <w:rFonts w:hint="default" w:ascii="Times New Roman" w:hAnsi="Times New Roman" w:cs="Times New Roman"/>
        </w:rPr>
        <w:t>设置了压力表、安全阀。</w:t>
      </w:r>
    </w:p>
    <w:p>
      <w:pPr>
        <w:spacing w:line="360" w:lineRule="auto"/>
        <w:ind w:firstLine="570"/>
        <w:rPr>
          <w:rFonts w:hint="default" w:ascii="Times New Roman" w:hAnsi="Times New Roman" w:cs="Times New Roman"/>
        </w:rPr>
      </w:pPr>
      <w:r>
        <w:rPr>
          <w:rFonts w:hint="default" w:ascii="Times New Roman" w:hAnsi="Times New Roman" w:cs="Times New Roman"/>
        </w:rPr>
        <w:t>4）空压机等设备设置了压力及温度显示。</w:t>
      </w:r>
    </w:p>
    <w:p>
      <w:pPr>
        <w:keepNext w:val="0"/>
        <w:keepLines w:val="0"/>
        <w:pageBreakBefore w:val="0"/>
        <w:widowControl w:val="0"/>
        <w:kinsoku/>
        <w:wordWrap/>
        <w:overflowPunct/>
        <w:topLinePunct w:val="0"/>
        <w:autoSpaceDE/>
        <w:autoSpaceDN/>
        <w:bidi w:val="0"/>
        <w:adjustRightInd/>
        <w:snapToGrid/>
        <w:spacing w:line="560" w:lineRule="exact"/>
        <w:ind w:firstLine="570"/>
        <w:textAlignment w:val="auto"/>
        <w:rPr>
          <w:rFonts w:hint="default" w:ascii="Times New Roman" w:hAnsi="Times New Roman" w:cs="Times New Roman"/>
        </w:rPr>
      </w:pPr>
      <w:r>
        <w:rPr>
          <w:rFonts w:hint="default" w:ascii="Times New Roman" w:hAnsi="Times New Roman" w:cs="Times New Roman"/>
        </w:rPr>
        <w:t>罐区设有安全标志、洗眼喷淋装置。作业人员</w:t>
      </w:r>
      <w:r>
        <w:rPr>
          <w:rFonts w:hint="default" w:ascii="Times New Roman" w:hAnsi="Times New Roman" w:cs="Times New Roman"/>
          <w:lang w:val="en-US" w:eastAsia="zh-CN"/>
        </w:rPr>
        <w:t>配备有</w:t>
      </w:r>
      <w:r>
        <w:rPr>
          <w:rFonts w:hint="default" w:ascii="Times New Roman" w:hAnsi="Times New Roman" w:cs="Times New Roman"/>
        </w:rPr>
        <w:t>个体防护用品，包括防护眼镜、面罩、手套、防腐胶鞋及防护服等。设置有严格的装卸安全操作规程，装卸车辆具备危险化学品运输许可资质，运输人员具有相应的技术资格。</w:t>
      </w:r>
    </w:p>
    <w:p>
      <w:pPr>
        <w:keepNext w:val="0"/>
        <w:keepLines w:val="0"/>
        <w:pageBreakBefore w:val="0"/>
        <w:widowControl w:val="0"/>
        <w:kinsoku/>
        <w:wordWrap/>
        <w:overflowPunct/>
        <w:topLinePunct w:val="0"/>
        <w:autoSpaceDE/>
        <w:autoSpaceDN/>
        <w:bidi w:val="0"/>
        <w:adjustRightInd/>
        <w:snapToGrid/>
        <w:spacing w:line="560" w:lineRule="exact"/>
        <w:ind w:firstLine="570"/>
        <w:textAlignment w:val="auto"/>
        <w:rPr>
          <w:rFonts w:hint="default" w:ascii="Times New Roman" w:hAnsi="Times New Roman" w:cs="Times New Roman"/>
        </w:rPr>
      </w:pPr>
      <w:r>
        <w:rPr>
          <w:rFonts w:hint="default" w:ascii="Times New Roman" w:hAnsi="Times New Roman" w:cs="Times New Roman"/>
        </w:rPr>
        <w:t>储罐区设置有防火堤、隔提等，防火堤能容纳储罐事故状态下的泄露量，地面进行防腐、防酸、防渗透处理。</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）停产或检修时用水置换物料输送管道中的物料等。</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）厂区悬挂禁止拖拉机、电瓶车和摩托车等社会车辆进入厂区的标志并严禁其入内。</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default" w:ascii="Times New Roman" w:hAnsi="Times New Roman" w:eastAsia="宋体" w:cs="Times New Roman"/>
          <w:lang w:eastAsia="zh-CN"/>
        </w:rPr>
      </w:pPr>
      <w:r>
        <w:rPr>
          <w:rFonts w:hint="default" w:ascii="Times New Roman" w:hAnsi="Times New Roman" w:cs="Times New Roman"/>
        </w:rPr>
        <w:t>3、电气安全及防雷</w:t>
      </w:r>
      <w:r>
        <w:rPr>
          <w:rFonts w:hint="default" w:ascii="Times New Roman" w:hAnsi="Times New Roman" w:cs="Times New Roman"/>
          <w:lang w:val="en-US" w:eastAsia="zh-CN"/>
        </w:rPr>
        <w:t>设施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spacing w:val="-4"/>
        </w:rPr>
      </w:pPr>
      <w:r>
        <w:rPr>
          <w:rFonts w:hint="default" w:ascii="Times New Roman" w:hAnsi="Times New Roman" w:cs="Times New Roman"/>
        </w:rPr>
        <w:t>1）</w:t>
      </w:r>
      <w:r>
        <w:rPr>
          <w:rFonts w:hint="default" w:ascii="Times New Roman" w:hAnsi="Times New Roman" w:cs="Times New Roman"/>
          <w:spacing w:val="-4"/>
        </w:rPr>
        <w:t>变压器采用中性点接地，进线上设置了阀式防雷器，变压器的电源线设过流及电流速断保护，设置了电流速断、过电流保护、小电流接地保护等。</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spacing w:val="-4"/>
        </w:rPr>
      </w:pPr>
      <w:r>
        <w:rPr>
          <w:rFonts w:hint="default" w:ascii="Times New Roman" w:hAnsi="Times New Roman" w:cs="Times New Roman"/>
        </w:rPr>
        <w:t>2）电机设</w:t>
      </w:r>
      <w:r>
        <w:rPr>
          <w:rFonts w:hint="default" w:ascii="Times New Roman" w:hAnsi="Times New Roman" w:cs="Times New Roman"/>
          <w:spacing w:val="-4"/>
        </w:rPr>
        <w:t>工作接地和保护接地，设备正常不带电金属部位设置了接地。</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rPr>
      </w:pPr>
      <w:r>
        <w:rPr>
          <w:rFonts w:hint="default" w:ascii="Times New Roman" w:hAnsi="Times New Roman" w:cs="Times New Roman"/>
        </w:rPr>
        <w:t>3）设备内检修照明电源采用36V、12V等安全电压，手持电动工具设有漏电保护器。</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cs="Times New Roman"/>
        </w:rPr>
      </w:pPr>
      <w:r>
        <w:rPr>
          <w:rFonts w:hint="default" w:ascii="Times New Roman" w:hAnsi="Times New Roman" w:cs="Times New Roman"/>
        </w:rPr>
        <w:t>4）生产车间、罐区及综合用房、辅助楼等建筑物设置的防雷设施经过检测合格。</w:t>
      </w:r>
    </w:p>
    <w:p>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Times New Roman" w:hAnsi="Times New Roman" w:cs="Times New Roman"/>
        </w:rPr>
      </w:pPr>
      <w:r>
        <w:rPr>
          <w:rFonts w:hint="default" w:ascii="Times New Roman" w:hAnsi="Times New Roman" w:cs="Times New Roman"/>
        </w:rPr>
        <w:t>5）生产车间、罐区设有工业视频监控系统。</w:t>
      </w:r>
    </w:p>
    <w:p>
      <w:pPr>
        <w:keepNext w:val="0"/>
        <w:keepLines w:val="0"/>
        <w:pageBreakBefore w:val="0"/>
        <w:widowControl w:val="0"/>
        <w:kinsoku/>
        <w:wordWrap/>
        <w:overflowPunct/>
        <w:topLinePunct w:val="0"/>
        <w:autoSpaceDE/>
        <w:autoSpaceDN/>
        <w:bidi w:val="0"/>
        <w:adjustRightInd/>
        <w:snapToGrid/>
        <w:spacing w:line="560" w:lineRule="exact"/>
        <w:ind w:firstLine="548" w:firstLineChars="196"/>
        <w:textAlignment w:val="auto"/>
        <w:rPr>
          <w:rFonts w:hint="default" w:ascii="Times New Roman" w:hAnsi="Times New Roman" w:cs="Times New Roman"/>
        </w:rPr>
      </w:pPr>
      <w:r>
        <w:rPr>
          <w:rFonts w:hint="default" w:ascii="Times New Roman" w:hAnsi="Times New Roman" w:cs="Times New Roman"/>
        </w:rPr>
        <w:t>5、防中毒设施</w:t>
      </w:r>
    </w:p>
    <w:p>
      <w:pPr>
        <w:keepNext w:val="0"/>
        <w:keepLines w:val="0"/>
        <w:pageBreakBefore w:val="0"/>
        <w:widowControl w:val="0"/>
        <w:kinsoku/>
        <w:wordWrap/>
        <w:overflowPunct/>
        <w:topLinePunct w:val="0"/>
        <w:autoSpaceDE/>
        <w:autoSpaceDN/>
        <w:bidi w:val="0"/>
        <w:adjustRightInd/>
        <w:snapToGrid/>
        <w:spacing w:line="560" w:lineRule="exact"/>
        <w:ind w:firstLine="570"/>
        <w:textAlignment w:val="auto"/>
        <w:rPr>
          <w:rFonts w:hint="default" w:ascii="Times New Roman" w:hAnsi="Times New Roman" w:cs="Times New Roman"/>
        </w:rPr>
      </w:pPr>
      <w:r>
        <w:rPr>
          <w:rFonts w:hint="default" w:ascii="Times New Roman" w:hAnsi="Times New Roman" w:cs="Times New Roman"/>
        </w:rPr>
        <w:t>存在有毒环境设有有毒气体检测报警探头，存在有毒环境的岗位配有防毒面具柜，内置重型防化服、防酸服、防毒面具、空气呼吸器、应急救护药品、器材等等。</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default" w:ascii="Times New Roman" w:hAnsi="Times New Roman" w:cs="Times New Roman"/>
        </w:rPr>
      </w:pPr>
      <w:r>
        <w:rPr>
          <w:rFonts w:hint="default" w:ascii="Times New Roman" w:hAnsi="Times New Roman" w:cs="Times New Roman"/>
        </w:rPr>
        <w:t>6、其他安全设施</w:t>
      </w:r>
    </w:p>
    <w:p>
      <w:pPr>
        <w:keepNext w:val="0"/>
        <w:keepLines w:val="0"/>
        <w:pageBreakBefore w:val="0"/>
        <w:widowControl w:val="0"/>
        <w:kinsoku/>
        <w:wordWrap/>
        <w:overflowPunct/>
        <w:topLinePunct w:val="0"/>
        <w:autoSpaceDE/>
        <w:autoSpaceDN/>
        <w:bidi w:val="0"/>
        <w:adjustRightInd/>
        <w:snapToGrid/>
        <w:spacing w:line="560" w:lineRule="exact"/>
        <w:ind w:firstLine="570"/>
        <w:textAlignment w:val="auto"/>
        <w:rPr>
          <w:rFonts w:hint="default" w:ascii="Times New Roman" w:hAnsi="Times New Roman" w:cs="Times New Roman"/>
        </w:rPr>
      </w:pPr>
      <w:r>
        <w:rPr>
          <w:rFonts w:hint="default" w:ascii="Times New Roman" w:hAnsi="Times New Roman" w:cs="Times New Roman"/>
        </w:rPr>
        <w:t>1）楼梯、平台、过道均按要求进行敷设，各建筑物及露天框架均设置了不少于2个通道或出入口，利于人员及时疏散。</w:t>
      </w:r>
    </w:p>
    <w:p>
      <w:pPr>
        <w:keepNext w:val="0"/>
        <w:keepLines w:val="0"/>
        <w:pageBreakBefore w:val="0"/>
        <w:widowControl w:val="0"/>
        <w:kinsoku/>
        <w:wordWrap/>
        <w:overflowPunct/>
        <w:topLinePunct w:val="0"/>
        <w:autoSpaceDE/>
        <w:autoSpaceDN/>
        <w:bidi w:val="0"/>
        <w:adjustRightInd/>
        <w:snapToGrid/>
        <w:spacing w:line="560" w:lineRule="exact"/>
        <w:ind w:firstLine="570"/>
        <w:textAlignment w:val="auto"/>
        <w:rPr>
          <w:rFonts w:hint="default" w:ascii="Times New Roman" w:hAnsi="Times New Roman" w:cs="Times New Roman"/>
        </w:rPr>
      </w:pPr>
      <w:r>
        <w:rPr>
          <w:rFonts w:hint="default" w:ascii="Times New Roman" w:hAnsi="Times New Roman" w:cs="Times New Roman"/>
        </w:rPr>
        <w:t>2）所有运转设备的裸露部位或运转中操作人员可能接近的可动部件，设有防护罩、护栏等安全设施。</w:t>
      </w:r>
    </w:p>
    <w:p>
      <w:pPr>
        <w:keepNext w:val="0"/>
        <w:keepLines w:val="0"/>
        <w:pageBreakBefore w:val="0"/>
        <w:widowControl w:val="0"/>
        <w:kinsoku/>
        <w:wordWrap/>
        <w:overflowPunct/>
        <w:topLinePunct w:val="0"/>
        <w:autoSpaceDE/>
        <w:autoSpaceDN/>
        <w:bidi w:val="0"/>
        <w:adjustRightInd/>
        <w:snapToGrid/>
        <w:spacing w:line="560" w:lineRule="exact"/>
        <w:ind w:firstLine="570"/>
        <w:textAlignment w:val="auto"/>
        <w:rPr>
          <w:rFonts w:hint="default" w:ascii="Times New Roman" w:hAnsi="Times New Roman" w:cs="Times New Roman"/>
        </w:rPr>
      </w:pPr>
      <w:r>
        <w:rPr>
          <w:rFonts w:hint="default" w:ascii="Times New Roman" w:hAnsi="Times New Roman" w:cs="Times New Roman"/>
        </w:rPr>
        <w:t>3）各岗位采用自然采光和辅助照明结合的方式，各主要操作点及巡回检查路线上均有照明。</w:t>
      </w:r>
    </w:p>
    <w:p>
      <w:pPr>
        <w:keepNext w:val="0"/>
        <w:keepLines w:val="0"/>
        <w:pageBreakBefore w:val="0"/>
        <w:widowControl w:val="0"/>
        <w:kinsoku/>
        <w:wordWrap/>
        <w:overflowPunct/>
        <w:topLinePunct w:val="0"/>
        <w:autoSpaceDE/>
        <w:autoSpaceDN/>
        <w:bidi w:val="0"/>
        <w:adjustRightInd/>
        <w:snapToGrid/>
        <w:spacing w:line="560" w:lineRule="exact"/>
        <w:ind w:firstLine="570"/>
        <w:textAlignment w:val="auto"/>
        <w:rPr>
          <w:rFonts w:hint="default" w:ascii="Times New Roman" w:hAnsi="Times New Roman" w:cs="Times New Roman"/>
        </w:rPr>
      </w:pPr>
      <w:r>
        <w:rPr>
          <w:rFonts w:hint="default" w:ascii="Times New Roman" w:hAnsi="Times New Roman" w:cs="Times New Roman"/>
        </w:rPr>
        <w:t>4）在存在严重职业病危害的场所设置明显标志，标明风险内容、危险程度、安全距离、防控办法、应急措施等内容。</w:t>
      </w:r>
    </w:p>
    <w:p>
      <w:pPr>
        <w:keepNext w:val="0"/>
        <w:keepLines w:val="0"/>
        <w:pageBreakBefore w:val="0"/>
        <w:widowControl w:val="0"/>
        <w:kinsoku/>
        <w:wordWrap/>
        <w:overflowPunct/>
        <w:topLinePunct w:val="0"/>
        <w:autoSpaceDE/>
        <w:autoSpaceDN/>
        <w:bidi w:val="0"/>
        <w:adjustRightInd/>
        <w:snapToGrid/>
        <w:spacing w:line="560" w:lineRule="exact"/>
        <w:ind w:firstLine="570"/>
        <w:textAlignment w:val="auto"/>
        <w:rPr>
          <w:rFonts w:hint="default" w:ascii="Times New Roman" w:hAnsi="Times New Roman" w:cs="Times New Roman"/>
        </w:rPr>
      </w:pPr>
      <w:r>
        <w:rPr>
          <w:rFonts w:hint="default" w:ascii="Times New Roman" w:hAnsi="Times New Roman" w:cs="Times New Roman"/>
        </w:rPr>
        <w:t>5）各岗位设有厂内电话，各办公室配有程控电话。</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cs="Times New Roman"/>
          <w:szCs w:val="21"/>
        </w:rPr>
      </w:pPr>
      <w:r>
        <w:rPr>
          <w:rFonts w:hint="default" w:ascii="Times New Roman" w:hAnsi="Times New Roman" w:cs="Times New Roman"/>
        </w:rPr>
        <w:t>6）</w:t>
      </w:r>
      <w:r>
        <w:rPr>
          <w:rFonts w:hint="default" w:ascii="Times New Roman" w:hAnsi="Times New Roman" w:cs="Times New Roman"/>
          <w:szCs w:val="21"/>
        </w:rPr>
        <w:t>该公司根据</w:t>
      </w:r>
      <w:r>
        <w:rPr>
          <w:rStyle w:val="30"/>
          <w:rFonts w:hint="default" w:ascii="Times New Roman" w:hAnsi="Times New Roman" w:cs="Times New Roman"/>
          <w:b w:val="0"/>
          <w:bCs w:val="0"/>
          <w:shd w:val="clear" w:color="auto" w:fill="FFFFFF"/>
        </w:rPr>
        <w:t>《江西省安委会办公室关于印发江西省安全风险分级管控体系建设通用指南的通知》等的要求对企业有关建构筑物</w:t>
      </w:r>
      <w:r>
        <w:rPr>
          <w:rFonts w:hint="default" w:ascii="Times New Roman" w:hAnsi="Times New Roman" w:cs="Times New Roman"/>
          <w:bCs/>
          <w:kern w:val="24"/>
        </w:rPr>
        <w:t>进行了风险分级管控，设置了“一图一表三清单”，并定期进行安全隐患排查和治理工作，及时上报。</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7）事故洗眼器</w:t>
      </w:r>
    </w:p>
    <w:p>
      <w:pPr>
        <w:spacing w:line="360" w:lineRule="auto"/>
        <w:ind w:firstLine="56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涉及腐蚀性气体和液体的场所设置了喷淋洗眼器，防止灼烫事故发生。该公司洗眼器设置情况如下表：</w:t>
      </w:r>
    </w:p>
    <w:p>
      <w:pPr>
        <w:spacing w:line="360" w:lineRule="auto"/>
        <w:jc w:val="center"/>
        <w:rPr>
          <w:rFonts w:hint="default" w:ascii="Times New Roman" w:hAnsi="Times New Roman" w:cs="Times New Roman"/>
          <w:lang w:val="en-US" w:eastAsia="zh-CN"/>
        </w:rPr>
      </w:pPr>
      <w:r>
        <w:rPr>
          <w:rFonts w:hint="default" w:ascii="Times New Roman" w:hAnsi="Times New Roman" w:cs="Times New Roman"/>
          <w:lang w:val="en-US" w:eastAsia="zh-CN"/>
        </w:rPr>
        <w:t>表2.6-2 洗眼器设置台账</w:t>
      </w:r>
    </w:p>
    <w:tbl>
      <w:tblPr>
        <w:tblStyle w:val="25"/>
        <w:tblW w:w="4961" w:type="pct"/>
        <w:tblInd w:w="0" w:type="dxa"/>
        <w:tblLayout w:type="autofit"/>
        <w:tblCellMar>
          <w:top w:w="0" w:type="dxa"/>
          <w:left w:w="108" w:type="dxa"/>
          <w:bottom w:w="0" w:type="dxa"/>
          <w:right w:w="108" w:type="dxa"/>
        </w:tblCellMar>
      </w:tblPr>
      <w:tblGrid>
        <w:gridCol w:w="2005"/>
        <w:gridCol w:w="1820"/>
        <w:gridCol w:w="1979"/>
        <w:gridCol w:w="2457"/>
        <w:gridCol w:w="955"/>
      </w:tblGrid>
      <w:tr>
        <w:tblPrEx>
          <w:tblCellMar>
            <w:top w:w="0" w:type="dxa"/>
            <w:left w:w="108" w:type="dxa"/>
            <w:bottom w:w="0" w:type="dxa"/>
            <w:right w:w="108" w:type="dxa"/>
          </w:tblCellMar>
        </w:tblPrEx>
        <w:trPr>
          <w:trHeight w:val="480" w:hRule="atLeast"/>
        </w:trPr>
        <w:tc>
          <w:tcPr>
            <w:tcW w:w="1087"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序号</w:t>
            </w:r>
          </w:p>
        </w:tc>
        <w:tc>
          <w:tcPr>
            <w:tcW w:w="987"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工段（车间）</w:t>
            </w:r>
          </w:p>
        </w:tc>
        <w:tc>
          <w:tcPr>
            <w:tcW w:w="1073"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类型</w:t>
            </w:r>
          </w:p>
        </w:tc>
        <w:tc>
          <w:tcPr>
            <w:tcW w:w="1332"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安装位置</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数量</w:t>
            </w:r>
          </w:p>
        </w:tc>
      </w:tr>
      <w:tr>
        <w:tblPrEx>
          <w:tblCellMar>
            <w:top w:w="0" w:type="dxa"/>
            <w:left w:w="108" w:type="dxa"/>
            <w:bottom w:w="0" w:type="dxa"/>
            <w:right w:w="108" w:type="dxa"/>
          </w:tblCellMar>
        </w:tblPrEx>
        <w:trPr>
          <w:trHeight w:val="480" w:hRule="atLeast"/>
        </w:trPr>
        <w:tc>
          <w:tcPr>
            <w:tcW w:w="1087"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w:t>
            </w:r>
          </w:p>
        </w:tc>
        <w:tc>
          <w:tcPr>
            <w:tcW w:w="987"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101生产车间一</w:t>
            </w:r>
          </w:p>
        </w:tc>
        <w:tc>
          <w:tcPr>
            <w:tcW w:w="1073"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立式</w:t>
            </w:r>
          </w:p>
        </w:tc>
        <w:tc>
          <w:tcPr>
            <w:tcW w:w="1332"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应急通道楼梯口</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w:t>
            </w:r>
          </w:p>
        </w:tc>
      </w:tr>
      <w:tr>
        <w:tblPrEx>
          <w:tblCellMar>
            <w:top w:w="0" w:type="dxa"/>
            <w:left w:w="108" w:type="dxa"/>
            <w:bottom w:w="0" w:type="dxa"/>
            <w:right w:w="108" w:type="dxa"/>
          </w:tblCellMar>
        </w:tblPrEx>
        <w:trPr>
          <w:trHeight w:val="480" w:hRule="atLeast"/>
        </w:trPr>
        <w:tc>
          <w:tcPr>
            <w:tcW w:w="1087"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2</w:t>
            </w:r>
          </w:p>
        </w:tc>
        <w:tc>
          <w:tcPr>
            <w:tcW w:w="987"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lang w:val="en-US" w:eastAsia="zh-CN"/>
              </w:rPr>
              <w:t>102生产车间二</w:t>
            </w:r>
          </w:p>
        </w:tc>
        <w:tc>
          <w:tcPr>
            <w:tcW w:w="1073"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立式</w:t>
            </w:r>
          </w:p>
        </w:tc>
        <w:tc>
          <w:tcPr>
            <w:tcW w:w="1332"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应急通道楼梯口</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2</w:t>
            </w:r>
          </w:p>
        </w:tc>
      </w:tr>
      <w:tr>
        <w:tblPrEx>
          <w:tblCellMar>
            <w:top w:w="0" w:type="dxa"/>
            <w:left w:w="108" w:type="dxa"/>
            <w:bottom w:w="0" w:type="dxa"/>
            <w:right w:w="108" w:type="dxa"/>
          </w:tblCellMar>
        </w:tblPrEx>
        <w:trPr>
          <w:trHeight w:val="480" w:hRule="atLeast"/>
        </w:trPr>
        <w:tc>
          <w:tcPr>
            <w:tcW w:w="1087"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3</w:t>
            </w:r>
          </w:p>
        </w:tc>
        <w:tc>
          <w:tcPr>
            <w:tcW w:w="987"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lang w:val="en-US" w:eastAsia="zh-CN"/>
              </w:rPr>
              <w:t>103生产车间三</w:t>
            </w:r>
          </w:p>
        </w:tc>
        <w:tc>
          <w:tcPr>
            <w:tcW w:w="1073"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立式</w:t>
            </w:r>
          </w:p>
        </w:tc>
        <w:tc>
          <w:tcPr>
            <w:tcW w:w="1332"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应急通道楼梯口</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w:t>
            </w:r>
          </w:p>
        </w:tc>
      </w:tr>
      <w:tr>
        <w:tblPrEx>
          <w:tblCellMar>
            <w:top w:w="0" w:type="dxa"/>
            <w:left w:w="108" w:type="dxa"/>
            <w:bottom w:w="0" w:type="dxa"/>
            <w:right w:w="108" w:type="dxa"/>
          </w:tblCellMar>
        </w:tblPrEx>
        <w:trPr>
          <w:trHeight w:val="480" w:hRule="atLeast"/>
        </w:trPr>
        <w:tc>
          <w:tcPr>
            <w:tcW w:w="1087"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4</w:t>
            </w:r>
          </w:p>
        </w:tc>
        <w:tc>
          <w:tcPr>
            <w:tcW w:w="987"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lang w:val="en-US" w:eastAsia="zh-CN"/>
              </w:rPr>
              <w:t>104生产车间四</w:t>
            </w:r>
          </w:p>
        </w:tc>
        <w:tc>
          <w:tcPr>
            <w:tcW w:w="1073"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立式</w:t>
            </w:r>
          </w:p>
        </w:tc>
        <w:tc>
          <w:tcPr>
            <w:tcW w:w="1332"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应急通道楼梯口</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2</w:t>
            </w:r>
          </w:p>
        </w:tc>
      </w:tr>
      <w:tr>
        <w:tblPrEx>
          <w:tblCellMar>
            <w:top w:w="0" w:type="dxa"/>
            <w:left w:w="108" w:type="dxa"/>
            <w:bottom w:w="0" w:type="dxa"/>
            <w:right w:w="108" w:type="dxa"/>
          </w:tblCellMar>
        </w:tblPrEx>
        <w:trPr>
          <w:trHeight w:val="480" w:hRule="atLeast"/>
        </w:trPr>
        <w:tc>
          <w:tcPr>
            <w:tcW w:w="1087"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5</w:t>
            </w:r>
          </w:p>
        </w:tc>
        <w:tc>
          <w:tcPr>
            <w:tcW w:w="987"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lang w:val="en-US" w:eastAsia="zh-CN"/>
              </w:rPr>
              <w:t>201原料</w:t>
            </w:r>
            <w:r>
              <w:rPr>
                <w:rFonts w:hint="default" w:ascii="Times New Roman" w:hAnsi="Times New Roman" w:cs="Times New Roman"/>
                <w:color w:val="000000"/>
                <w:kern w:val="0"/>
                <w:sz w:val="21"/>
                <w:szCs w:val="21"/>
              </w:rPr>
              <w:t>罐区</w:t>
            </w:r>
          </w:p>
        </w:tc>
        <w:tc>
          <w:tcPr>
            <w:tcW w:w="1073"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立式</w:t>
            </w:r>
          </w:p>
        </w:tc>
        <w:tc>
          <w:tcPr>
            <w:tcW w:w="1332"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围堰两侧</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2</w:t>
            </w:r>
          </w:p>
        </w:tc>
      </w:tr>
      <w:tr>
        <w:tblPrEx>
          <w:tblCellMar>
            <w:top w:w="0" w:type="dxa"/>
            <w:left w:w="108" w:type="dxa"/>
            <w:bottom w:w="0" w:type="dxa"/>
            <w:right w:w="108" w:type="dxa"/>
          </w:tblCellMar>
        </w:tblPrEx>
        <w:trPr>
          <w:trHeight w:val="480" w:hRule="atLeast"/>
        </w:trPr>
        <w:tc>
          <w:tcPr>
            <w:tcW w:w="1087"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6</w:t>
            </w:r>
          </w:p>
        </w:tc>
        <w:tc>
          <w:tcPr>
            <w:tcW w:w="987"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lang w:val="en-US" w:eastAsia="zh-CN"/>
              </w:rPr>
              <w:t>105</w:t>
            </w:r>
            <w:r>
              <w:rPr>
                <w:rFonts w:hint="default" w:ascii="Times New Roman" w:hAnsi="Times New Roman" w:cs="Times New Roman"/>
                <w:color w:val="000000"/>
                <w:kern w:val="0"/>
                <w:sz w:val="21"/>
                <w:szCs w:val="21"/>
              </w:rPr>
              <w:t>烘干车间</w:t>
            </w:r>
          </w:p>
        </w:tc>
        <w:tc>
          <w:tcPr>
            <w:tcW w:w="1073"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立式</w:t>
            </w:r>
          </w:p>
        </w:tc>
        <w:tc>
          <w:tcPr>
            <w:tcW w:w="1332"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应急通道楼梯口</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w:t>
            </w:r>
          </w:p>
        </w:tc>
      </w:tr>
      <w:tr>
        <w:tblPrEx>
          <w:tblCellMar>
            <w:top w:w="0" w:type="dxa"/>
            <w:left w:w="108" w:type="dxa"/>
            <w:bottom w:w="0" w:type="dxa"/>
            <w:right w:w="108" w:type="dxa"/>
          </w:tblCellMar>
        </w:tblPrEx>
        <w:trPr>
          <w:trHeight w:val="492" w:hRule="atLeast"/>
        </w:trPr>
        <w:tc>
          <w:tcPr>
            <w:tcW w:w="1087"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7</w:t>
            </w:r>
          </w:p>
        </w:tc>
        <w:tc>
          <w:tcPr>
            <w:tcW w:w="987"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eastAsia="宋体"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204</w:t>
            </w:r>
            <w:r>
              <w:rPr>
                <w:rFonts w:hint="default" w:ascii="Times New Roman" w:hAnsi="Times New Roman" w:cs="Times New Roman"/>
                <w:color w:val="000000"/>
                <w:kern w:val="0"/>
                <w:sz w:val="21"/>
                <w:szCs w:val="21"/>
              </w:rPr>
              <w:t>成品仓库</w:t>
            </w:r>
            <w:r>
              <w:rPr>
                <w:rFonts w:hint="default" w:ascii="Times New Roman" w:hAnsi="Times New Roman" w:cs="Times New Roman"/>
                <w:color w:val="000000"/>
                <w:kern w:val="0"/>
                <w:sz w:val="21"/>
                <w:szCs w:val="21"/>
                <w:lang w:val="en-US" w:eastAsia="zh-CN"/>
              </w:rPr>
              <w:t>一</w:t>
            </w:r>
          </w:p>
        </w:tc>
        <w:tc>
          <w:tcPr>
            <w:tcW w:w="1073"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立式</w:t>
            </w:r>
          </w:p>
        </w:tc>
        <w:tc>
          <w:tcPr>
            <w:tcW w:w="1332" w:type="pct"/>
            <w:tcBorders>
              <w:top w:val="single" w:color="000000" w:sz="4" w:space="0"/>
              <w:left w:val="single" w:color="000000" w:sz="4" w:space="0"/>
              <w:bottom w:val="single" w:color="000000" w:sz="4" w:space="0"/>
              <w:right w:val="single" w:color="000000" w:sz="4" w:space="0"/>
            </w:tcBorders>
            <w:shd w:val="clear" w:color="auto" w:fill="auto"/>
          </w:tcPr>
          <w:p>
            <w:pPr>
              <w:widowControl/>
              <w:spacing w:line="240" w:lineRule="auto"/>
              <w:jc w:val="center"/>
              <w:textAlignment w:val="top"/>
              <w:rPr>
                <w:rFonts w:hint="default" w:ascii="Times New Roman" w:hAnsi="Times New Roman" w:cs="Times New Roman"/>
                <w:color w:val="000000"/>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应急通道楼梯口</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textAlignment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w:t>
            </w:r>
          </w:p>
        </w:tc>
      </w:tr>
    </w:tbl>
    <w:p>
      <w:pPr>
        <w:spacing w:line="360" w:lineRule="auto"/>
        <w:ind w:firstLine="560" w:firstLineChars="200"/>
        <w:jc w:val="left"/>
        <w:rPr>
          <w:rFonts w:hint="default" w:ascii="Times New Roman" w:hAnsi="Times New Roman" w:cs="Times New Roman"/>
          <w:szCs w:val="21"/>
        </w:rPr>
      </w:pPr>
      <w:r>
        <w:rPr>
          <w:rFonts w:hint="default" w:ascii="Times New Roman" w:hAnsi="Times New Roman" w:cs="Times New Roman"/>
          <w:lang w:val="en-US" w:eastAsia="zh-CN"/>
        </w:rPr>
        <w:t>8</w:t>
      </w:r>
      <w:r>
        <w:rPr>
          <w:rFonts w:hint="default" w:ascii="Times New Roman" w:hAnsi="Times New Roman" w:cs="Times New Roman"/>
        </w:rPr>
        <w:t>）</w:t>
      </w:r>
      <w:r>
        <w:rPr>
          <w:rFonts w:hint="default" w:ascii="Times New Roman" w:hAnsi="Times New Roman" w:cs="Times New Roman"/>
          <w:szCs w:val="21"/>
        </w:rPr>
        <w:t>安全警示标志</w:t>
      </w:r>
    </w:p>
    <w:p>
      <w:pPr>
        <w:spacing w:line="360" w:lineRule="auto"/>
        <w:ind w:firstLine="560" w:firstLineChars="200"/>
        <w:jc w:val="left"/>
        <w:rPr>
          <w:rFonts w:hint="default" w:ascii="Times New Roman" w:hAnsi="Times New Roman" w:cs="Times New Roman"/>
          <w:szCs w:val="21"/>
        </w:rPr>
      </w:pPr>
      <w:r>
        <w:rPr>
          <w:rFonts w:hint="default" w:ascii="Times New Roman" w:hAnsi="Times New Roman" w:cs="Times New Roman"/>
          <w:szCs w:val="21"/>
        </w:rPr>
        <w:t>凡容易发生事故或危及生命安全的场所、设备以及需要提醒操作人员注意的地点，抣按《安全标志》的相关要求设置了安全标志。各岗位设置了醒目的与之相适应的安全标志、安全警示牌、安全周知卡，标明了危险化学品的危险、有害性质等，该公司安全标志设置情况如下表：</w:t>
      </w:r>
    </w:p>
    <w:p>
      <w:pPr>
        <w:autoSpaceDE w:val="0"/>
        <w:autoSpaceDN w:val="0"/>
        <w:adjustRightIn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表2.6-</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 xml:space="preserve"> 安全标志台账</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3045"/>
        <w:gridCol w:w="3940"/>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0" w:type="auto"/>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标志名称</w:t>
            </w:r>
          </w:p>
        </w:tc>
        <w:tc>
          <w:tcPr>
            <w:tcW w:w="2121"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位置</w:t>
            </w:r>
          </w:p>
        </w:tc>
        <w:tc>
          <w:tcPr>
            <w:tcW w:w="690"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numPr>
                <w:ilvl w:val="0"/>
                <w:numId w:val="17"/>
              </w:numPr>
              <w:spacing w:line="240" w:lineRule="auto"/>
              <w:rPr>
                <w:rFonts w:hint="default" w:ascii="Times New Roman" w:hAnsi="Times New Roman" w:cs="Times New Roman"/>
                <w:sz w:val="21"/>
                <w:szCs w:val="21"/>
              </w:rPr>
            </w:pPr>
          </w:p>
        </w:tc>
        <w:tc>
          <w:tcPr>
            <w:tcW w:w="0" w:type="auto"/>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小心碰头</w:t>
            </w:r>
          </w:p>
        </w:tc>
        <w:tc>
          <w:tcPr>
            <w:tcW w:w="2121"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各车间</w:t>
            </w:r>
          </w:p>
        </w:tc>
        <w:tc>
          <w:tcPr>
            <w:tcW w:w="690"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numPr>
                <w:ilvl w:val="0"/>
                <w:numId w:val="17"/>
              </w:numPr>
              <w:spacing w:line="240" w:lineRule="auto"/>
              <w:rPr>
                <w:rFonts w:hint="default" w:ascii="Times New Roman" w:hAnsi="Times New Roman" w:cs="Times New Roman"/>
                <w:sz w:val="21"/>
                <w:szCs w:val="21"/>
              </w:rPr>
            </w:pPr>
          </w:p>
        </w:tc>
        <w:tc>
          <w:tcPr>
            <w:tcW w:w="0" w:type="auto"/>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当心烫伤</w:t>
            </w:r>
          </w:p>
        </w:tc>
        <w:tc>
          <w:tcPr>
            <w:tcW w:w="2121"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各车间</w:t>
            </w:r>
          </w:p>
        </w:tc>
        <w:tc>
          <w:tcPr>
            <w:tcW w:w="690"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tcPr>
          <w:p>
            <w:pPr>
              <w:numPr>
                <w:ilvl w:val="0"/>
                <w:numId w:val="17"/>
              </w:numPr>
              <w:spacing w:line="240" w:lineRule="auto"/>
              <w:rPr>
                <w:rFonts w:hint="default" w:ascii="Times New Roman" w:hAnsi="Times New Roman" w:cs="Times New Roman"/>
                <w:sz w:val="21"/>
                <w:szCs w:val="21"/>
              </w:rPr>
            </w:pPr>
          </w:p>
        </w:tc>
        <w:tc>
          <w:tcPr>
            <w:tcW w:w="0" w:type="auto"/>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当心机械伤人</w:t>
            </w:r>
          </w:p>
        </w:tc>
        <w:tc>
          <w:tcPr>
            <w:tcW w:w="2121"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各车间</w:t>
            </w:r>
          </w:p>
        </w:tc>
        <w:tc>
          <w:tcPr>
            <w:tcW w:w="690"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numPr>
                <w:ilvl w:val="0"/>
                <w:numId w:val="17"/>
              </w:numPr>
              <w:spacing w:line="240" w:lineRule="auto"/>
              <w:rPr>
                <w:rFonts w:hint="default" w:ascii="Times New Roman" w:hAnsi="Times New Roman" w:cs="Times New Roman"/>
                <w:sz w:val="21"/>
                <w:szCs w:val="21"/>
              </w:rPr>
            </w:pPr>
          </w:p>
        </w:tc>
        <w:tc>
          <w:tcPr>
            <w:tcW w:w="0" w:type="auto"/>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当心高温</w:t>
            </w:r>
          </w:p>
        </w:tc>
        <w:tc>
          <w:tcPr>
            <w:tcW w:w="2121"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各车间</w:t>
            </w:r>
          </w:p>
        </w:tc>
        <w:tc>
          <w:tcPr>
            <w:tcW w:w="690"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numPr>
                <w:ilvl w:val="0"/>
                <w:numId w:val="17"/>
              </w:numPr>
              <w:spacing w:line="240" w:lineRule="auto"/>
              <w:rPr>
                <w:rFonts w:hint="default" w:ascii="Times New Roman" w:hAnsi="Times New Roman" w:cs="Times New Roman"/>
                <w:sz w:val="21"/>
                <w:szCs w:val="21"/>
              </w:rPr>
            </w:pPr>
          </w:p>
        </w:tc>
        <w:tc>
          <w:tcPr>
            <w:tcW w:w="0" w:type="auto"/>
          </w:tcPr>
          <w:p>
            <w:pPr>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当心中毒</w:t>
            </w:r>
          </w:p>
        </w:tc>
        <w:tc>
          <w:tcPr>
            <w:tcW w:w="2121" w:type="pct"/>
          </w:tcPr>
          <w:p>
            <w:pPr>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各车间</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罐区</w:t>
            </w:r>
          </w:p>
        </w:tc>
        <w:tc>
          <w:tcPr>
            <w:tcW w:w="690" w:type="pct"/>
          </w:tcPr>
          <w:p>
            <w:pPr>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numPr>
                <w:ilvl w:val="0"/>
                <w:numId w:val="17"/>
              </w:numPr>
              <w:spacing w:line="240" w:lineRule="auto"/>
              <w:rPr>
                <w:rFonts w:hint="default" w:ascii="Times New Roman" w:hAnsi="Times New Roman" w:cs="Times New Roman"/>
                <w:sz w:val="21"/>
                <w:szCs w:val="21"/>
              </w:rPr>
            </w:pPr>
          </w:p>
        </w:tc>
        <w:tc>
          <w:tcPr>
            <w:tcW w:w="0" w:type="auto"/>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当心火灾</w:t>
            </w:r>
          </w:p>
        </w:tc>
        <w:tc>
          <w:tcPr>
            <w:tcW w:w="2121"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各车间、厂区</w:t>
            </w:r>
          </w:p>
        </w:tc>
        <w:tc>
          <w:tcPr>
            <w:tcW w:w="690"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numPr>
                <w:ilvl w:val="0"/>
                <w:numId w:val="17"/>
              </w:numPr>
              <w:spacing w:line="240" w:lineRule="auto"/>
              <w:rPr>
                <w:rFonts w:hint="default" w:ascii="Times New Roman" w:hAnsi="Times New Roman" w:cs="Times New Roman"/>
                <w:sz w:val="21"/>
                <w:szCs w:val="21"/>
              </w:rPr>
            </w:pPr>
          </w:p>
        </w:tc>
        <w:tc>
          <w:tcPr>
            <w:tcW w:w="0" w:type="auto"/>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禁止吸烟（烟火）</w:t>
            </w:r>
          </w:p>
        </w:tc>
        <w:tc>
          <w:tcPr>
            <w:tcW w:w="2121"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各车间、仓库</w:t>
            </w:r>
          </w:p>
        </w:tc>
        <w:tc>
          <w:tcPr>
            <w:tcW w:w="690"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numPr>
                <w:ilvl w:val="0"/>
                <w:numId w:val="17"/>
              </w:numPr>
              <w:spacing w:line="240" w:lineRule="auto"/>
              <w:rPr>
                <w:rFonts w:hint="default" w:ascii="Times New Roman" w:hAnsi="Times New Roman" w:cs="Times New Roman"/>
                <w:sz w:val="21"/>
                <w:szCs w:val="21"/>
              </w:rPr>
            </w:pPr>
          </w:p>
        </w:tc>
        <w:tc>
          <w:tcPr>
            <w:tcW w:w="0" w:type="auto"/>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安全出口</w:t>
            </w:r>
          </w:p>
        </w:tc>
        <w:tc>
          <w:tcPr>
            <w:tcW w:w="2121"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各车间、仓库</w:t>
            </w:r>
          </w:p>
        </w:tc>
        <w:tc>
          <w:tcPr>
            <w:tcW w:w="690"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numPr>
                <w:ilvl w:val="0"/>
                <w:numId w:val="17"/>
              </w:numPr>
              <w:spacing w:line="240" w:lineRule="auto"/>
              <w:rPr>
                <w:rFonts w:hint="default" w:ascii="Times New Roman" w:hAnsi="Times New Roman" w:cs="Times New Roman"/>
                <w:sz w:val="21"/>
                <w:szCs w:val="21"/>
              </w:rPr>
            </w:pPr>
          </w:p>
        </w:tc>
        <w:tc>
          <w:tcPr>
            <w:tcW w:w="0" w:type="auto"/>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当心伤手</w:t>
            </w:r>
          </w:p>
        </w:tc>
        <w:tc>
          <w:tcPr>
            <w:tcW w:w="2121"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各车间</w:t>
            </w:r>
          </w:p>
        </w:tc>
        <w:tc>
          <w:tcPr>
            <w:tcW w:w="690"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numPr>
                <w:ilvl w:val="0"/>
                <w:numId w:val="17"/>
              </w:numPr>
              <w:spacing w:line="240" w:lineRule="auto"/>
              <w:rPr>
                <w:rFonts w:hint="default" w:ascii="Times New Roman" w:hAnsi="Times New Roman" w:cs="Times New Roman"/>
                <w:sz w:val="21"/>
                <w:szCs w:val="21"/>
              </w:rPr>
            </w:pPr>
          </w:p>
        </w:tc>
        <w:tc>
          <w:tcPr>
            <w:tcW w:w="0" w:type="auto"/>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当心触电</w:t>
            </w:r>
          </w:p>
        </w:tc>
        <w:tc>
          <w:tcPr>
            <w:tcW w:w="2121"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配电间</w:t>
            </w:r>
          </w:p>
        </w:tc>
        <w:tc>
          <w:tcPr>
            <w:tcW w:w="690"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numPr>
                <w:ilvl w:val="0"/>
                <w:numId w:val="17"/>
              </w:numPr>
              <w:spacing w:line="240" w:lineRule="auto"/>
              <w:rPr>
                <w:rFonts w:hint="default" w:ascii="Times New Roman" w:hAnsi="Times New Roman" w:cs="Times New Roman"/>
                <w:sz w:val="21"/>
                <w:szCs w:val="21"/>
              </w:rPr>
            </w:pPr>
          </w:p>
        </w:tc>
        <w:tc>
          <w:tcPr>
            <w:tcW w:w="0" w:type="auto"/>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有电危险</w:t>
            </w:r>
          </w:p>
        </w:tc>
        <w:tc>
          <w:tcPr>
            <w:tcW w:w="2121"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配电间</w:t>
            </w:r>
          </w:p>
        </w:tc>
        <w:tc>
          <w:tcPr>
            <w:tcW w:w="690"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3</w:t>
            </w:r>
          </w:p>
        </w:tc>
      </w:tr>
    </w:tbl>
    <w:p>
      <w:pPr>
        <w:pStyle w:val="4"/>
        <w:spacing w:line="580" w:lineRule="exact"/>
        <w:rPr>
          <w:rFonts w:hint="default" w:ascii="Times New Roman" w:hAnsi="Times New Roman" w:cs="Times New Roman"/>
        </w:rPr>
      </w:pPr>
      <w:bookmarkStart w:id="58" w:name="_Toc18225"/>
      <w:r>
        <w:rPr>
          <w:rFonts w:hint="default" w:ascii="Times New Roman" w:hAnsi="Times New Roman" w:cs="Times New Roman"/>
        </w:rPr>
        <w:t>2.9近三年的安全生产状况</w:t>
      </w:r>
      <w:bookmarkEnd w:id="56"/>
      <w:bookmarkEnd w:id="58"/>
    </w:p>
    <w:p>
      <w:pPr>
        <w:spacing w:line="580" w:lineRule="exact"/>
        <w:ind w:firstLine="536" w:firstLineChars="200"/>
        <w:rPr>
          <w:rFonts w:hint="default" w:ascii="Times New Roman" w:hAnsi="Times New Roman" w:cs="Times New Roman"/>
          <w:spacing w:val="-6"/>
          <w:sz w:val="28"/>
        </w:rPr>
      </w:pPr>
      <w:r>
        <w:rPr>
          <w:rFonts w:hint="default" w:ascii="Times New Roman" w:hAnsi="Times New Roman" w:cs="Times New Roman"/>
          <w:spacing w:val="-6"/>
          <w:sz w:val="28"/>
        </w:rPr>
        <w:t>该公司</w:t>
      </w:r>
      <w:r>
        <w:rPr>
          <w:rFonts w:hint="default" w:ascii="Times New Roman" w:hAnsi="Times New Roman" w:cs="Times New Roman"/>
          <w:spacing w:val="-6"/>
          <w:sz w:val="28"/>
          <w:lang w:val="en-US" w:eastAsia="zh-CN"/>
        </w:rPr>
        <w:t>的</w:t>
      </w:r>
      <w:r>
        <w:rPr>
          <w:rFonts w:hint="default" w:ascii="Times New Roman" w:hAnsi="Times New Roman" w:cs="Times New Roman"/>
          <w:spacing w:val="-6"/>
          <w:sz w:val="28"/>
        </w:rPr>
        <w:t>生产装置的产品种类和规模未发生变化</w:t>
      </w:r>
      <w:r>
        <w:rPr>
          <w:rFonts w:hint="default" w:ascii="Times New Roman" w:hAnsi="Times New Roman" w:cs="Times New Roman"/>
          <w:spacing w:val="-6"/>
          <w:sz w:val="28"/>
          <w:lang w:eastAsia="zh-CN"/>
        </w:rPr>
        <w:t>，</w:t>
      </w:r>
      <w:r>
        <w:rPr>
          <w:rFonts w:hint="default" w:ascii="Times New Roman" w:hAnsi="Times New Roman" w:cs="Times New Roman"/>
          <w:spacing w:val="-6"/>
          <w:sz w:val="28"/>
        </w:rPr>
        <w:t>各项安全设施、电气设备，特种设备、消防、防雷设备运行正常。</w:t>
      </w:r>
      <w:r>
        <w:rPr>
          <w:rFonts w:hint="default" w:ascii="Times New Roman" w:hAnsi="Times New Roman" w:cs="Times New Roman"/>
          <w:spacing w:val="-6"/>
          <w:sz w:val="28"/>
          <w:lang w:eastAsia="zh-CN"/>
        </w:rPr>
        <w:t>上饶市广氟医药化工有限公司</w:t>
      </w:r>
      <w:r>
        <w:rPr>
          <w:rFonts w:hint="default" w:ascii="Times New Roman" w:hAnsi="Times New Roman" w:cs="Times New Roman"/>
          <w:spacing w:val="-6"/>
          <w:sz w:val="28"/>
        </w:rPr>
        <w:t>经过多次园区检查，现场的生产装置按专家提出的要求进行了相应的整改。</w:t>
      </w:r>
    </w:p>
    <w:p>
      <w:pPr>
        <w:spacing w:line="580" w:lineRule="exact"/>
        <w:ind w:firstLine="560" w:firstLineChars="200"/>
        <w:rPr>
          <w:rFonts w:hint="default" w:ascii="Times New Roman" w:hAnsi="Times New Roman" w:cs="Times New Roman"/>
        </w:rPr>
      </w:pPr>
      <w:r>
        <w:rPr>
          <w:rFonts w:hint="default" w:ascii="Times New Roman" w:hAnsi="Times New Roman" w:cs="Times New Roman"/>
          <w:lang w:eastAsia="zh-CN"/>
        </w:rPr>
        <w:t>上饶市广氟医药化工有限公司</w:t>
      </w:r>
      <w:r>
        <w:rPr>
          <w:rFonts w:hint="default" w:ascii="Times New Roman" w:hAnsi="Times New Roman" w:cs="Times New Roman"/>
        </w:rPr>
        <w:t>于202</w:t>
      </w:r>
      <w:r>
        <w:rPr>
          <w:rFonts w:hint="default" w:ascii="Times New Roman" w:hAnsi="Times New Roman" w:cs="Times New Roman"/>
          <w:lang w:val="en-US" w:eastAsia="zh-CN"/>
        </w:rPr>
        <w:t>2</w:t>
      </w:r>
      <w:r>
        <w:rPr>
          <w:rFonts w:hint="default" w:ascii="Times New Roman" w:hAnsi="Times New Roman" w:cs="Times New Roman"/>
        </w:rPr>
        <w:t>年委托江西赛达工程设计有限公司进行Hazop分析并出具了Haozp分析报告。</w:t>
      </w:r>
    </w:p>
    <w:p>
      <w:pPr>
        <w:spacing w:line="580" w:lineRule="exact"/>
        <w:ind w:firstLine="560" w:firstLineChars="200"/>
        <w:rPr>
          <w:rFonts w:hint="default" w:ascii="Times New Roman" w:hAnsi="Times New Roman" w:cs="Times New Roman"/>
          <w:lang w:val="en-US"/>
        </w:rPr>
      </w:pPr>
      <w:r>
        <w:rPr>
          <w:rFonts w:hint="default" w:ascii="Times New Roman" w:hAnsi="Times New Roman" w:cs="Times New Roman"/>
          <w:lang w:eastAsia="zh-CN"/>
        </w:rPr>
        <w:t>上饶市广氟医药化工有限公司</w:t>
      </w:r>
      <w:r>
        <w:rPr>
          <w:rFonts w:hint="default" w:ascii="Times New Roman" w:hAnsi="Times New Roman" w:cs="Times New Roman"/>
        </w:rPr>
        <w:t>于202</w:t>
      </w:r>
      <w:r>
        <w:rPr>
          <w:rFonts w:hint="default" w:ascii="Times New Roman" w:hAnsi="Times New Roman" w:cs="Times New Roman"/>
          <w:lang w:val="en-US" w:eastAsia="zh-CN"/>
        </w:rPr>
        <w:t>2</w:t>
      </w:r>
      <w:r>
        <w:rPr>
          <w:rFonts w:hint="default" w:ascii="Times New Roman" w:hAnsi="Times New Roman" w:cs="Times New Roman"/>
        </w:rPr>
        <w:t>年根据Haozp分析报告要求进行自动化升级改造。</w:t>
      </w:r>
      <w:r>
        <w:rPr>
          <w:rFonts w:hint="default" w:ascii="Times New Roman" w:hAnsi="Times New Roman" w:cs="Times New Roman"/>
          <w:lang w:val="en-US" w:eastAsia="zh-CN"/>
        </w:rPr>
        <w:t>于</w:t>
      </w:r>
      <w:r>
        <w:rPr>
          <w:rFonts w:hint="default" w:ascii="Times New Roman" w:hAnsi="Times New Roman" w:cs="Times New Roman"/>
        </w:rPr>
        <w:t>202</w:t>
      </w:r>
      <w:r>
        <w:rPr>
          <w:rFonts w:hint="default" w:ascii="Times New Roman" w:hAnsi="Times New Roman" w:cs="Times New Roman"/>
          <w:lang w:val="en-US" w:eastAsia="zh-CN"/>
        </w:rPr>
        <w:t>2</w:t>
      </w:r>
      <w:r>
        <w:rPr>
          <w:rFonts w:hint="default" w:ascii="Times New Roman" w:hAnsi="Times New Roman" w:cs="Times New Roman"/>
        </w:rPr>
        <w:t>年</w:t>
      </w:r>
      <w:r>
        <w:rPr>
          <w:rFonts w:hint="default" w:ascii="Times New Roman" w:hAnsi="Times New Roman" w:cs="Times New Roman"/>
          <w:lang w:val="en-US" w:eastAsia="zh-CN"/>
        </w:rPr>
        <w:t>9</w:t>
      </w:r>
      <w:r>
        <w:rPr>
          <w:rFonts w:hint="default" w:ascii="Times New Roman" w:hAnsi="Times New Roman" w:cs="Times New Roman"/>
        </w:rPr>
        <w:t>月根据《江西省应急管理厅关于印发《江西省化工企业自动化提升实施方案》（试行）的通知》（赣应急字〔2021〕190号）等文件要求，委托北京慎恒工程设计有限公司进行全流程自动化控制诊断并编制自动化控制诊断报告。</w:t>
      </w:r>
      <w:r>
        <w:rPr>
          <w:rFonts w:hint="default" w:ascii="Times New Roman" w:hAnsi="Times New Roman" w:cs="Times New Roman"/>
          <w:lang w:val="en-US" w:eastAsia="zh-CN"/>
        </w:rPr>
        <w:t>企业根据</w:t>
      </w:r>
      <w:r>
        <w:rPr>
          <w:rFonts w:hint="default" w:ascii="Times New Roman" w:hAnsi="Times New Roman" w:cs="Times New Roman"/>
          <w:lang w:eastAsia="zh-CN"/>
        </w:rPr>
        <w:t>《</w:t>
      </w:r>
      <w:r>
        <w:rPr>
          <w:rFonts w:hint="default" w:ascii="Times New Roman" w:hAnsi="Times New Roman" w:cs="Times New Roman"/>
          <w:lang w:val="en-US" w:eastAsia="zh-CN"/>
        </w:rPr>
        <w:t>江西省应急厅办公室关于进一步推动危险化学品（化工）企业自动化改造提升工作的通知》赣应急办字[2023]77号的要求，承诺于2023年12月底前完成自动化提升改造。</w:t>
      </w:r>
    </w:p>
    <w:p>
      <w:pPr>
        <w:spacing w:line="580" w:lineRule="exact"/>
        <w:ind w:firstLine="560" w:firstLineChars="200"/>
        <w:rPr>
          <w:rFonts w:hint="default" w:ascii="Times New Roman" w:hAnsi="Times New Roman" w:cs="Times New Roman"/>
        </w:rPr>
      </w:pPr>
      <w:r>
        <w:rPr>
          <w:rFonts w:hint="default" w:ascii="Times New Roman" w:hAnsi="Times New Roman" w:cs="Times New Roman"/>
        </w:rPr>
        <w:t>根据</w:t>
      </w:r>
      <w:r>
        <w:rPr>
          <w:rFonts w:hint="default" w:ascii="Times New Roman" w:hAnsi="Times New Roman" w:cs="Times New Roman"/>
          <w:lang w:eastAsia="zh-CN"/>
        </w:rPr>
        <w:t>上饶市广氟医药化工有限公司</w:t>
      </w:r>
      <w:r>
        <w:rPr>
          <w:rFonts w:hint="default" w:ascii="Times New Roman" w:hAnsi="Times New Roman" w:cs="Times New Roman"/>
        </w:rPr>
        <w:t>提供的事故台账，三年以来未发生火灾、爆炸、人员重伤、多人中毒等安全生产事故。</w:t>
      </w:r>
    </w:p>
    <w:p>
      <w:pPr>
        <w:pStyle w:val="3"/>
        <w:rPr>
          <w:rFonts w:hint="default" w:ascii="Times New Roman" w:hAnsi="Times New Roman" w:cs="Times New Roman"/>
        </w:rPr>
      </w:pPr>
      <w:r>
        <w:rPr>
          <w:rFonts w:hint="default" w:ascii="Times New Roman" w:hAnsi="Times New Roman" w:cs="Times New Roman"/>
        </w:rPr>
        <w:br w:type="page"/>
      </w:r>
      <w:bookmarkStart w:id="59" w:name="_Toc32546"/>
      <w:r>
        <w:rPr>
          <w:rFonts w:hint="default" w:ascii="Times New Roman" w:hAnsi="Times New Roman" w:cs="Times New Roman"/>
        </w:rPr>
        <w:t>3评价对象及范围</w:t>
      </w:r>
      <w:bookmarkEnd w:id="59"/>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根据</w:t>
      </w:r>
      <w:r>
        <w:rPr>
          <w:rFonts w:hint="default" w:ascii="Times New Roman" w:hAnsi="Times New Roman" w:cs="Times New Roman"/>
        </w:rPr>
        <w:t>《危险化学品生产企业安全生产许可证实施办法》（国家安全监管总局令第41号，国家安全监管总局令第89号修改）</w:t>
      </w:r>
      <w:r>
        <w:rPr>
          <w:rFonts w:hint="default" w:ascii="Times New Roman" w:hAnsi="Times New Roman" w:cs="Times New Roman"/>
          <w:sz w:val="28"/>
          <w:szCs w:val="28"/>
        </w:rPr>
        <w:t>、《国家安全监管总局关于废止和修改危险化学品等领域七部规章的决定》（国家安全生产监督管理总局令第79号）及《安全评价通则》（AQ8001-2007）的要求，并与</w:t>
      </w:r>
      <w:r>
        <w:rPr>
          <w:rFonts w:hint="default" w:ascii="Times New Roman" w:hAnsi="Times New Roman" w:cs="Times New Roman"/>
          <w:sz w:val="28"/>
          <w:szCs w:val="28"/>
          <w:lang w:eastAsia="zh-CN"/>
        </w:rPr>
        <w:t>上饶市广氟医药化工有限公司</w:t>
      </w:r>
      <w:r>
        <w:rPr>
          <w:rFonts w:hint="default" w:ascii="Times New Roman" w:hAnsi="Times New Roman" w:cs="Times New Roman"/>
          <w:sz w:val="28"/>
          <w:szCs w:val="28"/>
        </w:rPr>
        <w:t>协商，确定本评价范围为：</w:t>
      </w:r>
      <w:r>
        <w:rPr>
          <w:rFonts w:hint="default" w:ascii="Times New Roman" w:hAnsi="Times New Roman" w:cs="Times New Roman"/>
          <w:sz w:val="28"/>
          <w:szCs w:val="28"/>
          <w:lang w:eastAsia="zh-CN"/>
        </w:rPr>
        <w:t>上饶市广氟医药化工有限公司</w:t>
      </w:r>
      <w:r>
        <w:rPr>
          <w:rFonts w:hint="default" w:ascii="Times New Roman" w:hAnsi="Times New Roman" w:cs="Times New Roman"/>
          <w:spacing w:val="-4"/>
          <w:sz w:val="28"/>
          <w:szCs w:val="28"/>
        </w:rPr>
        <w:t>在役</w:t>
      </w:r>
      <w:r>
        <w:rPr>
          <w:rFonts w:hint="default" w:ascii="Times New Roman" w:hAnsi="Times New Roman" w:cs="Times New Roman"/>
          <w:sz w:val="28"/>
          <w:szCs w:val="28"/>
        </w:rPr>
        <w:t>生产装置及配套的公用、辅助设施，具体如下：</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表3-1本评价范围内主要设场所一览表</w:t>
      </w:r>
    </w:p>
    <w:tbl>
      <w:tblPr>
        <w:tblStyle w:val="25"/>
        <w:tblW w:w="928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21"/>
        <w:gridCol w:w="2504"/>
        <w:gridCol w:w="566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121"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504"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装置名称及产能</w:t>
            </w:r>
          </w:p>
        </w:tc>
        <w:tc>
          <w:tcPr>
            <w:tcW w:w="5661"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主要车间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121" w:type="dxa"/>
            <w:vMerge w:val="restar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504" w:type="dxa"/>
            <w:vMerge w:val="restar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生产车间</w:t>
            </w:r>
          </w:p>
        </w:tc>
        <w:tc>
          <w:tcPr>
            <w:tcW w:w="5661"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101生产车间</w:t>
            </w:r>
            <w:r>
              <w:rPr>
                <w:rFonts w:hint="default" w:ascii="Times New Roman" w:hAnsi="Times New Roman" w:cs="Times New Roman"/>
                <w:sz w:val="21"/>
                <w:szCs w:val="21"/>
                <w:lang w:eastAsia="zh-CN"/>
              </w:rPr>
              <w:t>、</w:t>
            </w:r>
            <w:r>
              <w:rPr>
                <w:rFonts w:hint="default" w:ascii="Times New Roman" w:hAnsi="Times New Roman" w:cs="Times New Roman"/>
                <w:sz w:val="21"/>
                <w:szCs w:val="21"/>
              </w:rPr>
              <w:t>102生产车间二</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103生产车间三、</w:t>
            </w:r>
            <w:r>
              <w:rPr>
                <w:rFonts w:hint="default" w:ascii="Times New Roman" w:hAnsi="Times New Roman" w:cs="Times New Roman"/>
                <w:sz w:val="21"/>
                <w:szCs w:val="21"/>
              </w:rPr>
              <w:t>104生产车间四</w:t>
            </w:r>
            <w:r>
              <w:rPr>
                <w:rFonts w:hint="default" w:ascii="Times New Roman" w:hAnsi="Times New Roman" w:cs="Times New Roman"/>
                <w:sz w:val="21"/>
                <w:szCs w:val="21"/>
                <w:lang w:eastAsia="zh-CN"/>
              </w:rPr>
              <w:t>、</w:t>
            </w:r>
            <w:r>
              <w:rPr>
                <w:rFonts w:hint="default" w:ascii="Times New Roman" w:hAnsi="Times New Roman" w:cs="Times New Roman"/>
                <w:sz w:val="21"/>
                <w:szCs w:val="21"/>
              </w:rPr>
              <w:t>105烘干车间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121" w:type="dxa"/>
            <w:vMerge w:val="restar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504" w:type="dxa"/>
            <w:vMerge w:val="restar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仓库</w:t>
            </w:r>
          </w:p>
        </w:tc>
        <w:tc>
          <w:tcPr>
            <w:tcW w:w="5661"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sz w:val="21"/>
                <w:szCs w:val="21"/>
              </w:rPr>
              <w:t>201原料罐区</w:t>
            </w:r>
            <w:r>
              <w:rPr>
                <w:rFonts w:hint="default" w:ascii="Times New Roman" w:hAnsi="Times New Roman" w:cs="Times New Roman"/>
                <w:bCs/>
                <w:sz w:val="21"/>
                <w:szCs w:val="21"/>
                <w:lang w:eastAsia="zh-CN"/>
              </w:rPr>
              <w:t>、</w:t>
            </w:r>
            <w:r>
              <w:rPr>
                <w:rFonts w:hint="default" w:ascii="Times New Roman" w:hAnsi="Times New Roman" w:cs="Times New Roman"/>
                <w:bCs/>
                <w:sz w:val="21"/>
                <w:szCs w:val="21"/>
              </w:rPr>
              <w:t>202成品罐区</w:t>
            </w:r>
            <w:r>
              <w:rPr>
                <w:rFonts w:hint="default" w:ascii="Times New Roman" w:hAnsi="Times New Roman" w:cs="Times New Roman"/>
                <w:bCs/>
                <w:sz w:val="21"/>
                <w:szCs w:val="21"/>
                <w:lang w:eastAsia="zh-CN"/>
              </w:rPr>
              <w:t>、</w:t>
            </w:r>
            <w:r>
              <w:rPr>
                <w:rFonts w:hint="default" w:ascii="Times New Roman" w:hAnsi="Times New Roman" w:cs="Times New Roman"/>
                <w:bCs/>
                <w:sz w:val="21"/>
                <w:szCs w:val="21"/>
              </w:rPr>
              <w:t>203</w:t>
            </w:r>
            <w:r>
              <w:rPr>
                <w:rFonts w:hint="default" w:ascii="Times New Roman" w:hAnsi="Times New Roman" w:cs="Times New Roman"/>
                <w:bCs/>
                <w:sz w:val="21"/>
                <w:szCs w:val="21"/>
                <w:lang w:val="en-US" w:eastAsia="zh-CN"/>
              </w:rPr>
              <w:t>烘干包装库、</w:t>
            </w:r>
            <w:r>
              <w:rPr>
                <w:rFonts w:hint="default" w:ascii="Times New Roman" w:hAnsi="Times New Roman" w:cs="Times New Roman"/>
                <w:bCs/>
                <w:sz w:val="21"/>
                <w:szCs w:val="21"/>
              </w:rPr>
              <w:t>204成品仓库一</w:t>
            </w:r>
            <w:r>
              <w:rPr>
                <w:rFonts w:hint="default" w:ascii="Times New Roman" w:hAnsi="Times New Roman" w:cs="Times New Roman"/>
                <w:bCs/>
                <w:sz w:val="21"/>
                <w:szCs w:val="21"/>
                <w:lang w:eastAsia="zh-CN"/>
              </w:rPr>
              <w:t>、</w:t>
            </w:r>
            <w:r>
              <w:rPr>
                <w:rFonts w:hint="default" w:ascii="Times New Roman" w:hAnsi="Times New Roman" w:cs="Times New Roman"/>
                <w:bCs/>
                <w:sz w:val="21"/>
                <w:szCs w:val="21"/>
              </w:rPr>
              <w:t>308半成品仓库</w:t>
            </w:r>
            <w:r>
              <w:rPr>
                <w:rFonts w:hint="default" w:ascii="Times New Roman" w:hAnsi="Times New Roman" w:cs="Times New Roman"/>
                <w:bCs/>
                <w:sz w:val="21"/>
                <w:szCs w:val="21"/>
                <w:lang w:eastAsia="zh-CN"/>
              </w:rPr>
              <w:t>、</w:t>
            </w:r>
            <w:r>
              <w:rPr>
                <w:rFonts w:hint="default" w:ascii="Times New Roman" w:hAnsi="Times New Roman" w:cs="Times New Roman"/>
                <w:bCs/>
                <w:sz w:val="21"/>
                <w:szCs w:val="21"/>
              </w:rPr>
              <w:t>309包装材料仓库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121" w:type="dxa"/>
            <w:vMerge w:val="restart"/>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3</w:t>
            </w:r>
          </w:p>
        </w:tc>
        <w:tc>
          <w:tcPr>
            <w:tcW w:w="2504" w:type="dxa"/>
            <w:vMerge w:val="restar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公用工程区</w:t>
            </w:r>
          </w:p>
        </w:tc>
        <w:tc>
          <w:tcPr>
            <w:tcW w:w="5661" w:type="dxa"/>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bCs/>
                <w:sz w:val="21"/>
                <w:szCs w:val="21"/>
              </w:rPr>
              <w:t>301变配电间</w:t>
            </w:r>
            <w:r>
              <w:rPr>
                <w:rFonts w:hint="default" w:ascii="Times New Roman" w:hAnsi="Times New Roman" w:cs="Times New Roman"/>
                <w:bCs/>
                <w:sz w:val="21"/>
                <w:szCs w:val="21"/>
                <w:lang w:eastAsia="zh-CN"/>
              </w:rPr>
              <w:t>、</w:t>
            </w:r>
            <w:r>
              <w:rPr>
                <w:rFonts w:hint="default" w:ascii="Times New Roman" w:hAnsi="Times New Roman" w:cs="Times New Roman"/>
                <w:bCs/>
                <w:sz w:val="21"/>
                <w:szCs w:val="21"/>
                <w:lang w:val="en-US" w:eastAsia="zh-CN"/>
              </w:rPr>
              <w:t>304循环水池、</w:t>
            </w:r>
            <w:r>
              <w:rPr>
                <w:rFonts w:hint="default" w:ascii="Times New Roman" w:hAnsi="Times New Roman" w:cs="Times New Roman"/>
                <w:bCs/>
                <w:sz w:val="21"/>
                <w:szCs w:val="21"/>
              </w:rPr>
              <w:t>305循环水泵房</w:t>
            </w:r>
            <w:r>
              <w:rPr>
                <w:rFonts w:hint="default" w:ascii="Times New Roman" w:hAnsi="Times New Roman" w:cs="Times New Roman"/>
                <w:bCs/>
                <w:sz w:val="21"/>
                <w:szCs w:val="21"/>
                <w:lang w:eastAsia="zh-CN"/>
              </w:rPr>
              <w:t>、</w:t>
            </w:r>
            <w:r>
              <w:rPr>
                <w:rFonts w:hint="default" w:ascii="Times New Roman" w:hAnsi="Times New Roman" w:cs="Times New Roman"/>
                <w:bCs/>
                <w:sz w:val="21"/>
                <w:szCs w:val="21"/>
              </w:rPr>
              <w:t>306污水处理池</w:t>
            </w:r>
            <w:r>
              <w:rPr>
                <w:rFonts w:hint="default" w:ascii="Times New Roman" w:hAnsi="Times New Roman" w:cs="Times New Roman"/>
                <w:bCs/>
                <w:sz w:val="21"/>
                <w:szCs w:val="21"/>
                <w:lang w:eastAsia="zh-CN"/>
              </w:rPr>
              <w:t>、</w:t>
            </w:r>
            <w:r>
              <w:rPr>
                <w:rFonts w:hint="default" w:ascii="Times New Roman" w:hAnsi="Times New Roman" w:cs="Times New Roman"/>
                <w:bCs/>
                <w:sz w:val="21"/>
                <w:szCs w:val="21"/>
              </w:rPr>
              <w:t>307机修车间</w:t>
            </w:r>
            <w:r>
              <w:rPr>
                <w:rFonts w:hint="default" w:ascii="Times New Roman" w:hAnsi="Times New Roman" w:cs="Times New Roman"/>
                <w:bCs/>
                <w:sz w:val="21"/>
                <w:szCs w:val="21"/>
                <w:lang w:eastAsia="zh-CN"/>
              </w:rPr>
              <w:t>、</w:t>
            </w:r>
            <w:r>
              <w:rPr>
                <w:rFonts w:hint="default" w:ascii="Times New Roman" w:hAnsi="Times New Roman" w:cs="Times New Roman"/>
                <w:bCs/>
                <w:sz w:val="21"/>
                <w:szCs w:val="21"/>
              </w:rPr>
              <w:t>310事故应急池</w:t>
            </w:r>
            <w:r>
              <w:rPr>
                <w:rFonts w:hint="default" w:ascii="Times New Roman" w:hAnsi="Times New Roman" w:cs="Times New Roman"/>
                <w:bCs/>
                <w:sz w:val="21"/>
                <w:szCs w:val="21"/>
                <w:lang w:eastAsia="zh-CN"/>
              </w:rPr>
              <w:t>、</w:t>
            </w:r>
            <w:r>
              <w:rPr>
                <w:rFonts w:hint="default" w:ascii="Times New Roman" w:hAnsi="Times New Roman" w:cs="Times New Roman"/>
                <w:bCs/>
                <w:sz w:val="21"/>
                <w:szCs w:val="21"/>
              </w:rPr>
              <w:t>311污水处理装置区</w:t>
            </w:r>
            <w:r>
              <w:rPr>
                <w:rFonts w:hint="default" w:ascii="Times New Roman" w:hAnsi="Times New Roman" w:cs="Times New Roman"/>
                <w:bCs/>
                <w:sz w:val="21"/>
                <w:szCs w:val="21"/>
                <w:lang w:eastAsia="zh-CN"/>
              </w:rPr>
              <w:t>、</w:t>
            </w:r>
            <w:r>
              <w:rPr>
                <w:rFonts w:hint="default" w:ascii="Times New Roman" w:hAnsi="Times New Roman" w:cs="Times New Roman"/>
                <w:bCs/>
                <w:sz w:val="21"/>
                <w:szCs w:val="21"/>
                <w:lang w:val="en-US" w:eastAsia="zh-CN"/>
              </w:rPr>
              <w:t>405分析室</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121" w:type="dxa"/>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4</w:t>
            </w:r>
          </w:p>
        </w:tc>
        <w:tc>
          <w:tcPr>
            <w:tcW w:w="2504"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办公区</w:t>
            </w:r>
          </w:p>
        </w:tc>
        <w:tc>
          <w:tcPr>
            <w:tcW w:w="5661"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sz w:val="21"/>
                <w:szCs w:val="21"/>
              </w:rPr>
              <w:t>402办公楼</w:t>
            </w:r>
            <w:r>
              <w:rPr>
                <w:rFonts w:hint="default" w:ascii="Times New Roman" w:hAnsi="Times New Roman" w:cs="Times New Roman"/>
                <w:bCs/>
                <w:sz w:val="21"/>
                <w:szCs w:val="21"/>
                <w:lang w:eastAsia="zh-CN"/>
              </w:rPr>
              <w:t>、</w:t>
            </w:r>
            <w:r>
              <w:rPr>
                <w:rFonts w:hint="default" w:ascii="Times New Roman" w:hAnsi="Times New Roman" w:cs="Times New Roman"/>
                <w:bCs/>
                <w:sz w:val="21"/>
                <w:szCs w:val="21"/>
              </w:rPr>
              <w:t>403门卫</w:t>
            </w:r>
            <w:r>
              <w:rPr>
                <w:rFonts w:hint="default" w:ascii="Times New Roman" w:hAnsi="Times New Roman" w:cs="Times New Roman"/>
                <w:bCs/>
                <w:sz w:val="21"/>
                <w:szCs w:val="21"/>
                <w:lang w:eastAsia="zh-CN"/>
              </w:rPr>
              <w:t>、</w:t>
            </w:r>
            <w:r>
              <w:rPr>
                <w:rFonts w:hint="default" w:ascii="Times New Roman" w:hAnsi="Times New Roman" w:cs="Times New Roman"/>
                <w:bCs/>
                <w:sz w:val="21"/>
                <w:szCs w:val="21"/>
                <w:lang w:val="en-US" w:eastAsia="zh-CN"/>
              </w:rPr>
              <w:t>404门卫</w:t>
            </w:r>
          </w:p>
        </w:tc>
      </w:tr>
    </w:tbl>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企业厂区预留</w:t>
      </w:r>
      <w:r>
        <w:rPr>
          <w:rFonts w:hint="default" w:ascii="Times New Roman" w:hAnsi="Times New Roman" w:cs="Times New Roman"/>
          <w:sz w:val="28"/>
          <w:szCs w:val="28"/>
          <w:lang w:val="en-US" w:eastAsia="zh-CN"/>
        </w:rPr>
        <w:t>的建构筑物（206成品仓库二）和停用</w:t>
      </w:r>
      <w:r>
        <w:rPr>
          <w:rFonts w:hint="default" w:ascii="Times New Roman" w:hAnsi="Times New Roman" w:cs="Times New Roman"/>
          <w:sz w:val="28"/>
          <w:szCs w:val="28"/>
        </w:rPr>
        <w:t>的</w:t>
      </w:r>
      <w:r>
        <w:rPr>
          <w:rFonts w:hint="default" w:ascii="Times New Roman" w:hAnsi="Times New Roman" w:cs="Times New Roman"/>
          <w:sz w:val="28"/>
          <w:szCs w:val="28"/>
          <w:lang w:val="en-US" w:eastAsia="zh-CN"/>
        </w:rPr>
        <w:t>建构筑物</w:t>
      </w:r>
      <w:r>
        <w:rPr>
          <w:rFonts w:hint="default" w:ascii="Times New Roman" w:hAnsi="Times New Roman" w:cs="Times New Roman"/>
          <w:sz w:val="28"/>
          <w:szCs w:val="28"/>
          <w:lang w:eastAsia="zh-CN"/>
        </w:rPr>
        <w:t>（205原料仓库二、207原料仓库一、302成品仓库、303煤堆场）</w:t>
      </w:r>
      <w:r>
        <w:rPr>
          <w:rFonts w:hint="default" w:ascii="Times New Roman" w:hAnsi="Times New Roman" w:cs="Times New Roman"/>
          <w:sz w:val="28"/>
          <w:szCs w:val="28"/>
        </w:rPr>
        <w:t>不在本次现状评价范围。该公司场外运输等均不属于此次评价范围；消防和环保按国家和地方消防、环保方面的法规和标准。本报告引用的法定检验检测报告结论和数据，只负责引用的适当性，不对其结果正确性负责。</w:t>
      </w:r>
    </w:p>
    <w:p>
      <w:pPr>
        <w:spacing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本评价报告是在</w:t>
      </w:r>
      <w:r>
        <w:rPr>
          <w:rFonts w:hint="default" w:ascii="Times New Roman" w:hAnsi="Times New Roman" w:cs="Times New Roman"/>
          <w:sz w:val="28"/>
          <w:szCs w:val="28"/>
          <w:lang w:eastAsia="zh-CN"/>
        </w:rPr>
        <w:t>上饶市广氟医药化工有限公司</w:t>
      </w:r>
      <w:r>
        <w:rPr>
          <w:rFonts w:hint="default" w:ascii="Times New Roman" w:hAnsi="Times New Roman" w:cs="Times New Roman"/>
          <w:sz w:val="28"/>
          <w:szCs w:val="28"/>
        </w:rPr>
        <w:t>提供的资料基础上完成的，如提供的资料有虚假内容，并由此导致的经济和法律责任及其它后果均由委托方自行承担。如委托方在项目评价组对现场检查完毕后，对现有的工艺、设备、设施、地点、规模、范围、原辅材料等自行进行改造，造成系统的安全程度也随之发生变化，本报告将失去有效性。</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lang w:eastAsia="zh-CN"/>
        </w:rPr>
        <w:t>上饶市广氟医药化工有限公司</w:t>
      </w:r>
      <w:r>
        <w:rPr>
          <w:rFonts w:hint="default" w:ascii="Times New Roman" w:hAnsi="Times New Roman" w:cs="Times New Roman"/>
          <w:sz w:val="28"/>
          <w:szCs w:val="28"/>
        </w:rPr>
        <w:t>本次换证评价涉及的产品产</w:t>
      </w:r>
      <w:r>
        <w:rPr>
          <w:rFonts w:hint="default" w:ascii="Times New Roman" w:hAnsi="Times New Roman" w:cs="Times New Roman"/>
          <w:sz w:val="28"/>
          <w:szCs w:val="28"/>
          <w:lang w:val="en-US" w:eastAsia="zh-CN"/>
        </w:rPr>
        <w:t>能</w:t>
      </w:r>
      <w:r>
        <w:rPr>
          <w:rFonts w:hint="default" w:ascii="Times New Roman" w:hAnsi="Times New Roman" w:cs="Times New Roman"/>
          <w:sz w:val="28"/>
          <w:szCs w:val="28"/>
        </w:rPr>
        <w:t>情况见下表：</w:t>
      </w:r>
    </w:p>
    <w:p>
      <w:pPr>
        <w:spacing w:line="240" w:lineRule="auto"/>
        <w:ind w:firstLine="420" w:firstLineChars="200"/>
        <w:jc w:val="center"/>
        <w:rPr>
          <w:rFonts w:hint="default" w:ascii="Times New Roman" w:hAnsi="Times New Roman" w:cs="Times New Roman"/>
          <w:sz w:val="21"/>
          <w:szCs w:val="21"/>
        </w:rPr>
      </w:pPr>
      <w:r>
        <w:rPr>
          <w:rFonts w:hint="default" w:ascii="Times New Roman" w:hAnsi="Times New Roman" w:cs="Times New Roman"/>
          <w:sz w:val="21"/>
          <w:szCs w:val="21"/>
        </w:rPr>
        <w:t>表3-2换证评价范围内产品情况一览表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序号</w:t>
            </w:r>
          </w:p>
        </w:tc>
        <w:tc>
          <w:tcPr>
            <w:tcW w:w="232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名称</w:t>
            </w:r>
          </w:p>
        </w:tc>
        <w:tc>
          <w:tcPr>
            <w:tcW w:w="232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产量/用量t/a</w:t>
            </w:r>
          </w:p>
        </w:tc>
        <w:tc>
          <w:tcPr>
            <w:tcW w:w="232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w:t>
            </w:r>
          </w:p>
        </w:tc>
        <w:tc>
          <w:tcPr>
            <w:tcW w:w="232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zh-CN"/>
              </w:rPr>
              <w:t>氟硅酸钾</w:t>
            </w:r>
          </w:p>
        </w:tc>
        <w:tc>
          <w:tcPr>
            <w:tcW w:w="2322" w:type="dxa"/>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500</w:t>
            </w:r>
          </w:p>
        </w:tc>
        <w:tc>
          <w:tcPr>
            <w:tcW w:w="2322" w:type="dxa"/>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2</w:t>
            </w:r>
          </w:p>
        </w:tc>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zh-CN"/>
              </w:rPr>
              <w:t>氟硅酸钡</w:t>
            </w:r>
          </w:p>
        </w:tc>
        <w:tc>
          <w:tcPr>
            <w:tcW w:w="0" w:type="auto"/>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3</w:t>
            </w:r>
          </w:p>
        </w:tc>
        <w:tc>
          <w:tcPr>
            <w:tcW w:w="0" w:type="auto"/>
            <w:vAlign w:val="center"/>
          </w:tcPr>
          <w:p>
            <w:pPr>
              <w:spacing w:line="240" w:lineRule="auto"/>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cs="Times New Roman"/>
                <w:sz w:val="21"/>
                <w:szCs w:val="21"/>
                <w:lang w:val="zh-CN"/>
              </w:rPr>
              <w:t>氟硅酸镁</w:t>
            </w:r>
          </w:p>
        </w:tc>
        <w:tc>
          <w:tcPr>
            <w:tcW w:w="0" w:type="auto"/>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65</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4</w:t>
            </w:r>
          </w:p>
        </w:tc>
        <w:tc>
          <w:tcPr>
            <w:tcW w:w="0" w:type="auto"/>
            <w:vAlign w:val="center"/>
          </w:tcPr>
          <w:p>
            <w:pPr>
              <w:spacing w:line="240" w:lineRule="auto"/>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cs="Times New Roman"/>
                <w:sz w:val="21"/>
                <w:szCs w:val="21"/>
                <w:lang w:val="zh-CN"/>
              </w:rPr>
              <w:t>氟硅酸锌</w:t>
            </w:r>
          </w:p>
        </w:tc>
        <w:tc>
          <w:tcPr>
            <w:tcW w:w="0" w:type="auto"/>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5</w:t>
            </w:r>
          </w:p>
        </w:tc>
        <w:tc>
          <w:tcPr>
            <w:tcW w:w="0" w:type="auto"/>
            <w:vAlign w:val="center"/>
          </w:tcPr>
          <w:p>
            <w:pPr>
              <w:spacing w:line="240" w:lineRule="auto"/>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cs="Times New Roman"/>
                <w:sz w:val="21"/>
                <w:szCs w:val="21"/>
                <w:lang w:val="zh-CN"/>
              </w:rPr>
              <w:t>氟硅酸钠</w:t>
            </w:r>
          </w:p>
        </w:tc>
        <w:tc>
          <w:tcPr>
            <w:tcW w:w="0" w:type="auto"/>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500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6</w:t>
            </w:r>
          </w:p>
        </w:tc>
        <w:tc>
          <w:tcPr>
            <w:tcW w:w="0" w:type="auto"/>
            <w:vAlign w:val="center"/>
          </w:tcPr>
          <w:p>
            <w:pPr>
              <w:spacing w:line="240" w:lineRule="auto"/>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cs="Times New Roman"/>
                <w:sz w:val="21"/>
                <w:szCs w:val="21"/>
                <w:lang w:val="zh-CN"/>
              </w:rPr>
              <w:t>有水氟硅酸</w:t>
            </w:r>
          </w:p>
        </w:tc>
        <w:tc>
          <w:tcPr>
            <w:tcW w:w="0" w:type="auto"/>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7</w:t>
            </w:r>
          </w:p>
        </w:tc>
        <w:tc>
          <w:tcPr>
            <w:tcW w:w="0" w:type="auto"/>
            <w:vAlign w:val="center"/>
          </w:tcPr>
          <w:p>
            <w:pPr>
              <w:spacing w:line="240" w:lineRule="auto"/>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cs="Times New Roman"/>
                <w:sz w:val="21"/>
                <w:szCs w:val="21"/>
                <w:lang w:val="zh-CN"/>
              </w:rPr>
              <w:t>氟硼酸钾</w:t>
            </w:r>
          </w:p>
        </w:tc>
        <w:tc>
          <w:tcPr>
            <w:tcW w:w="0" w:type="auto"/>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500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8</w:t>
            </w:r>
          </w:p>
        </w:tc>
        <w:tc>
          <w:tcPr>
            <w:tcW w:w="0" w:type="auto"/>
            <w:vAlign w:val="center"/>
          </w:tcPr>
          <w:p>
            <w:pPr>
              <w:spacing w:line="240" w:lineRule="auto"/>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cs="Times New Roman"/>
                <w:sz w:val="21"/>
                <w:szCs w:val="21"/>
                <w:lang w:val="zh-CN"/>
              </w:rPr>
              <w:t>氟硼酸钠</w:t>
            </w:r>
          </w:p>
        </w:tc>
        <w:tc>
          <w:tcPr>
            <w:tcW w:w="0" w:type="auto"/>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260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9</w:t>
            </w:r>
          </w:p>
        </w:tc>
        <w:tc>
          <w:tcPr>
            <w:tcW w:w="0" w:type="auto"/>
            <w:vAlign w:val="center"/>
          </w:tcPr>
          <w:p>
            <w:pPr>
              <w:spacing w:line="240" w:lineRule="auto"/>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cs="Times New Roman"/>
                <w:sz w:val="21"/>
                <w:szCs w:val="21"/>
                <w:lang w:val="zh-CN"/>
              </w:rPr>
              <w:t>氟硼酸锂</w:t>
            </w:r>
          </w:p>
        </w:tc>
        <w:tc>
          <w:tcPr>
            <w:tcW w:w="0" w:type="auto"/>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50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w:t>
            </w:r>
          </w:p>
        </w:tc>
        <w:tc>
          <w:tcPr>
            <w:tcW w:w="0" w:type="auto"/>
            <w:vAlign w:val="center"/>
          </w:tcPr>
          <w:p>
            <w:pPr>
              <w:spacing w:line="240" w:lineRule="auto"/>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cs="Times New Roman"/>
                <w:sz w:val="21"/>
                <w:szCs w:val="21"/>
                <w:lang w:val="zh-CN"/>
              </w:rPr>
              <w:t>有水氟硼酸</w:t>
            </w:r>
          </w:p>
        </w:tc>
        <w:tc>
          <w:tcPr>
            <w:tcW w:w="0" w:type="auto"/>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11</w:t>
            </w:r>
          </w:p>
        </w:tc>
        <w:tc>
          <w:tcPr>
            <w:tcW w:w="0" w:type="auto"/>
            <w:vAlign w:val="center"/>
          </w:tcPr>
          <w:p>
            <w:pPr>
              <w:spacing w:line="240" w:lineRule="auto"/>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cs="Times New Roman"/>
                <w:sz w:val="21"/>
                <w:szCs w:val="21"/>
                <w:lang w:val="zh-CN"/>
              </w:rPr>
              <w:t>氟铝酸钾</w:t>
            </w:r>
          </w:p>
        </w:tc>
        <w:tc>
          <w:tcPr>
            <w:tcW w:w="0" w:type="auto"/>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12</w:t>
            </w:r>
          </w:p>
        </w:tc>
        <w:tc>
          <w:tcPr>
            <w:tcW w:w="0" w:type="auto"/>
            <w:vAlign w:val="center"/>
          </w:tcPr>
          <w:p>
            <w:pPr>
              <w:spacing w:line="240" w:lineRule="auto"/>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cs="Times New Roman"/>
                <w:sz w:val="21"/>
                <w:szCs w:val="21"/>
                <w:lang w:val="zh-CN"/>
              </w:rPr>
              <w:t>氟铝酸钠</w:t>
            </w:r>
          </w:p>
        </w:tc>
        <w:tc>
          <w:tcPr>
            <w:tcW w:w="0" w:type="auto"/>
            <w:vAlign w:val="center"/>
          </w:tcPr>
          <w:p>
            <w:pPr>
              <w:widowControl/>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5</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13</w:t>
            </w:r>
          </w:p>
        </w:tc>
        <w:tc>
          <w:tcPr>
            <w:tcW w:w="0" w:type="auto"/>
            <w:vAlign w:val="center"/>
          </w:tcPr>
          <w:p>
            <w:pPr>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氟钛酸</w:t>
            </w:r>
          </w:p>
        </w:tc>
        <w:tc>
          <w:tcPr>
            <w:tcW w:w="0" w:type="auto"/>
            <w:vAlign w:val="center"/>
          </w:tcPr>
          <w:p>
            <w:pPr>
              <w:widowControl/>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14</w:t>
            </w:r>
          </w:p>
        </w:tc>
        <w:tc>
          <w:tcPr>
            <w:tcW w:w="0" w:type="auto"/>
            <w:vAlign w:val="center"/>
          </w:tcPr>
          <w:p>
            <w:pPr>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氟锆酸</w:t>
            </w:r>
          </w:p>
        </w:tc>
        <w:tc>
          <w:tcPr>
            <w:tcW w:w="0" w:type="auto"/>
            <w:vAlign w:val="center"/>
          </w:tcPr>
          <w:p>
            <w:pPr>
              <w:widowControl/>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w:t>
            </w:r>
          </w:p>
        </w:tc>
        <w:tc>
          <w:tcPr>
            <w:tcW w:w="0" w:type="auto"/>
            <w:vAlign w:val="center"/>
          </w:tcPr>
          <w:p>
            <w:pPr>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氟化钾</w:t>
            </w:r>
          </w:p>
        </w:tc>
        <w:tc>
          <w:tcPr>
            <w:tcW w:w="0" w:type="auto"/>
            <w:vAlign w:val="center"/>
          </w:tcPr>
          <w:p>
            <w:pPr>
              <w:widowControl/>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w:t>
            </w:r>
          </w:p>
        </w:tc>
        <w:tc>
          <w:tcPr>
            <w:tcW w:w="0" w:type="auto"/>
            <w:vAlign w:val="center"/>
          </w:tcPr>
          <w:p>
            <w:pPr>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氟化氢钾</w:t>
            </w:r>
          </w:p>
        </w:tc>
        <w:tc>
          <w:tcPr>
            <w:tcW w:w="0" w:type="auto"/>
            <w:vAlign w:val="center"/>
          </w:tcPr>
          <w:p>
            <w:pPr>
              <w:widowControl/>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17</w:t>
            </w:r>
          </w:p>
        </w:tc>
        <w:tc>
          <w:tcPr>
            <w:tcW w:w="0" w:type="auto"/>
            <w:vAlign w:val="center"/>
          </w:tcPr>
          <w:p>
            <w:pPr>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氟化钡</w:t>
            </w:r>
          </w:p>
        </w:tc>
        <w:tc>
          <w:tcPr>
            <w:tcW w:w="0" w:type="auto"/>
            <w:vAlign w:val="center"/>
          </w:tcPr>
          <w:p>
            <w:pPr>
              <w:widowControl/>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18</w:t>
            </w:r>
          </w:p>
        </w:tc>
        <w:tc>
          <w:tcPr>
            <w:tcW w:w="0" w:type="auto"/>
            <w:vAlign w:val="center"/>
          </w:tcPr>
          <w:p>
            <w:pPr>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氟化钠</w:t>
            </w:r>
          </w:p>
        </w:tc>
        <w:tc>
          <w:tcPr>
            <w:tcW w:w="0" w:type="auto"/>
            <w:vAlign w:val="center"/>
          </w:tcPr>
          <w:p>
            <w:pPr>
              <w:widowControl/>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19</w:t>
            </w:r>
          </w:p>
        </w:tc>
        <w:tc>
          <w:tcPr>
            <w:tcW w:w="0" w:type="auto"/>
            <w:vAlign w:val="center"/>
          </w:tcPr>
          <w:p>
            <w:pPr>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氟化氢钠</w:t>
            </w:r>
          </w:p>
        </w:tc>
        <w:tc>
          <w:tcPr>
            <w:tcW w:w="0" w:type="auto"/>
            <w:vAlign w:val="center"/>
          </w:tcPr>
          <w:p>
            <w:pPr>
              <w:widowControl/>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w:t>
            </w:r>
          </w:p>
        </w:tc>
        <w:tc>
          <w:tcPr>
            <w:tcW w:w="0" w:type="auto"/>
            <w:vAlign w:val="center"/>
          </w:tcPr>
          <w:p>
            <w:pPr>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有水氢氟酸</w:t>
            </w:r>
          </w:p>
        </w:tc>
        <w:tc>
          <w:tcPr>
            <w:tcW w:w="0" w:type="auto"/>
            <w:vAlign w:val="center"/>
          </w:tcPr>
          <w:p>
            <w:pPr>
              <w:widowControl/>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21</w:t>
            </w:r>
          </w:p>
        </w:tc>
        <w:tc>
          <w:tcPr>
            <w:tcW w:w="0" w:type="auto"/>
            <w:vAlign w:val="center"/>
          </w:tcPr>
          <w:p>
            <w:pPr>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氟化锌</w:t>
            </w:r>
          </w:p>
        </w:tc>
        <w:tc>
          <w:tcPr>
            <w:tcW w:w="0" w:type="auto"/>
            <w:vAlign w:val="center"/>
          </w:tcPr>
          <w:p>
            <w:pPr>
              <w:widowControl/>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w:t>
            </w:r>
          </w:p>
        </w:tc>
        <w:tc>
          <w:tcPr>
            <w:tcW w:w="0" w:type="auto"/>
            <w:vAlign w:val="center"/>
          </w:tcPr>
          <w:p>
            <w:pPr>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氟化锶</w:t>
            </w:r>
          </w:p>
        </w:tc>
        <w:tc>
          <w:tcPr>
            <w:tcW w:w="0" w:type="auto"/>
            <w:vAlign w:val="center"/>
          </w:tcPr>
          <w:p>
            <w:pPr>
              <w:widowControl/>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w:t>
            </w:r>
          </w:p>
        </w:tc>
        <w:tc>
          <w:tcPr>
            <w:tcW w:w="0" w:type="auto"/>
          </w:tcPr>
          <w:p>
            <w:pPr>
              <w:bidi w:val="0"/>
              <w:spacing w:line="240" w:lineRule="auto"/>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23</w:t>
            </w:r>
          </w:p>
        </w:tc>
        <w:tc>
          <w:tcPr>
            <w:tcW w:w="0" w:type="auto"/>
            <w:vAlign w:val="center"/>
          </w:tcPr>
          <w:p>
            <w:pPr>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氟化锂</w:t>
            </w:r>
          </w:p>
        </w:tc>
        <w:tc>
          <w:tcPr>
            <w:tcW w:w="0" w:type="auto"/>
            <w:vAlign w:val="center"/>
          </w:tcPr>
          <w:p>
            <w:pPr>
              <w:widowControl/>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0" w:type="auto"/>
          </w:tcPr>
          <w:p>
            <w:pPr>
              <w:bidi w:val="0"/>
              <w:spacing w:line="240" w:lineRule="auto"/>
              <w:rPr>
                <w:rFonts w:hint="default" w:ascii="Times New Roman" w:hAnsi="Times New Roman" w:cs="Times New Roman"/>
                <w:sz w:val="21"/>
                <w:szCs w:val="21"/>
                <w:vertAlign w:val="baseline"/>
              </w:rPr>
            </w:pPr>
          </w:p>
        </w:tc>
      </w:tr>
    </w:tbl>
    <w:p>
      <w:pPr>
        <w:pStyle w:val="3"/>
        <w:rPr>
          <w:rFonts w:hint="default" w:ascii="Times New Roman" w:hAnsi="Times New Roman" w:cs="Times New Roman"/>
        </w:rPr>
      </w:pPr>
      <w:r>
        <w:rPr>
          <w:rFonts w:hint="default" w:ascii="Times New Roman" w:hAnsi="Times New Roman" w:cs="Times New Roman"/>
        </w:rPr>
        <w:br w:type="page"/>
      </w:r>
      <w:bookmarkStart w:id="60" w:name="_Toc21488"/>
      <w:r>
        <w:rPr>
          <w:rFonts w:hint="default" w:ascii="Times New Roman" w:hAnsi="Times New Roman" w:cs="Times New Roman"/>
        </w:rPr>
        <w:t>4安全评价程序</w:t>
      </w:r>
      <w:bookmarkEnd w:id="60"/>
    </w:p>
    <w:p>
      <w:pPr>
        <w:ind w:firstLine="560" w:firstLineChars="200"/>
        <w:rPr>
          <w:rFonts w:hint="default" w:ascii="Times New Roman" w:hAnsi="Times New Roman" w:cs="Times New Roman"/>
        </w:rPr>
      </w:pPr>
      <w:r>
        <w:rPr>
          <w:rFonts w:hint="default" w:ascii="Times New Roman" w:hAnsi="Times New Roman" w:cs="Times New Roman"/>
        </w:rPr>
        <w:t>1、与</w:t>
      </w:r>
      <w:r>
        <w:rPr>
          <w:rFonts w:hint="default" w:ascii="Times New Roman" w:hAnsi="Times New Roman" w:cs="Times New Roman"/>
          <w:lang w:eastAsia="zh-CN"/>
        </w:rPr>
        <w:t>上饶市广氟医药化工有限公司</w:t>
      </w:r>
      <w:r>
        <w:rPr>
          <w:rFonts w:hint="default" w:ascii="Times New Roman" w:hAnsi="Times New Roman" w:cs="Times New Roman"/>
        </w:rPr>
        <w:t>协商，确定本评价的范围；</w:t>
      </w:r>
    </w:p>
    <w:p>
      <w:pPr>
        <w:ind w:firstLine="560" w:firstLineChars="200"/>
        <w:rPr>
          <w:rFonts w:hint="default" w:ascii="Times New Roman" w:hAnsi="Times New Roman" w:cs="Times New Roman"/>
        </w:rPr>
      </w:pPr>
      <w:r>
        <w:rPr>
          <w:rFonts w:hint="default" w:ascii="Times New Roman" w:hAnsi="Times New Roman" w:cs="Times New Roman"/>
        </w:rPr>
        <w:t>2、根据双方协商的评价范围和《危险化学品生产企业安全评价导则》（试行）附录1的要求，双方共同收集、整理安全评价所需的资料；</w:t>
      </w:r>
    </w:p>
    <w:p>
      <w:pPr>
        <w:ind w:firstLine="560" w:firstLineChars="200"/>
        <w:rPr>
          <w:rFonts w:hint="default" w:ascii="Times New Roman" w:hAnsi="Times New Roman" w:cs="Times New Roman"/>
        </w:rPr>
      </w:pPr>
      <w:r>
        <w:rPr>
          <w:rFonts w:hint="default" w:ascii="Times New Roman" w:hAnsi="Times New Roman" w:cs="Times New Roman"/>
        </w:rPr>
        <w:t>3、根据工艺、设备及危险化学品的性质，编制安全检查表；</w:t>
      </w:r>
    </w:p>
    <w:p>
      <w:pPr>
        <w:ind w:firstLine="560" w:firstLineChars="200"/>
        <w:rPr>
          <w:rFonts w:hint="default" w:ascii="Times New Roman" w:hAnsi="Times New Roman" w:cs="Times New Roman"/>
        </w:rPr>
      </w:pPr>
      <w:r>
        <w:rPr>
          <w:rFonts w:hint="default" w:ascii="Times New Roman" w:hAnsi="Times New Roman" w:cs="Times New Roman"/>
        </w:rPr>
        <w:t>4、根据工艺、设备及危险化学品的性质，确定采用的安全评价方法；</w:t>
      </w:r>
    </w:p>
    <w:p>
      <w:pPr>
        <w:ind w:firstLine="560" w:firstLineChars="200"/>
        <w:rPr>
          <w:rFonts w:hint="default" w:ascii="Times New Roman" w:hAnsi="Times New Roman" w:cs="Times New Roman"/>
        </w:rPr>
      </w:pPr>
      <w:r>
        <w:rPr>
          <w:rFonts w:hint="default" w:ascii="Times New Roman" w:hAnsi="Times New Roman" w:cs="Times New Roman"/>
        </w:rPr>
        <w:t>5、根据检查表对现场进行检查；</w:t>
      </w:r>
    </w:p>
    <w:p>
      <w:pPr>
        <w:ind w:firstLine="560" w:firstLineChars="200"/>
        <w:rPr>
          <w:rFonts w:hint="default" w:ascii="Times New Roman" w:hAnsi="Times New Roman" w:cs="Times New Roman"/>
        </w:rPr>
      </w:pPr>
      <w:r>
        <w:rPr>
          <w:rFonts w:hint="default" w:ascii="Times New Roman" w:hAnsi="Times New Roman" w:cs="Times New Roman"/>
        </w:rPr>
        <w:t>6、现场检查过程中和现场工作结束后与</w:t>
      </w:r>
      <w:r>
        <w:rPr>
          <w:rFonts w:hint="default" w:ascii="Times New Roman" w:hAnsi="Times New Roman" w:cs="Times New Roman"/>
          <w:lang w:eastAsia="zh-CN"/>
        </w:rPr>
        <w:t>上饶市广氟医药化工有限公司</w:t>
      </w:r>
      <w:r>
        <w:rPr>
          <w:rFonts w:hint="default" w:ascii="Times New Roman" w:hAnsi="Times New Roman" w:cs="Times New Roman"/>
        </w:rPr>
        <w:t>相关人员交换意见；</w:t>
      </w:r>
    </w:p>
    <w:p>
      <w:pPr>
        <w:ind w:firstLine="560" w:firstLineChars="200"/>
        <w:rPr>
          <w:rFonts w:hint="default" w:ascii="Times New Roman" w:hAnsi="Times New Roman" w:cs="Times New Roman"/>
        </w:rPr>
      </w:pPr>
      <w:r>
        <w:rPr>
          <w:rFonts w:hint="default" w:ascii="Times New Roman" w:hAnsi="Times New Roman" w:cs="Times New Roman"/>
        </w:rPr>
        <w:t>7、对危险、有害因素进行分析辨识；</w:t>
      </w:r>
    </w:p>
    <w:p>
      <w:pPr>
        <w:ind w:firstLine="560" w:firstLineChars="200"/>
        <w:rPr>
          <w:rFonts w:hint="default" w:ascii="Times New Roman" w:hAnsi="Times New Roman" w:cs="Times New Roman"/>
        </w:rPr>
      </w:pPr>
      <w:r>
        <w:rPr>
          <w:rFonts w:hint="default" w:ascii="Times New Roman" w:hAnsi="Times New Roman" w:cs="Times New Roman"/>
        </w:rPr>
        <w:t>8、定性、定量分析安全评价内容；</w:t>
      </w:r>
    </w:p>
    <w:p>
      <w:pPr>
        <w:ind w:firstLine="560" w:firstLineChars="200"/>
        <w:rPr>
          <w:rFonts w:hint="default" w:ascii="Times New Roman" w:hAnsi="Times New Roman" w:cs="Times New Roman"/>
        </w:rPr>
      </w:pPr>
      <w:r>
        <w:rPr>
          <w:rFonts w:hint="default" w:ascii="Times New Roman" w:hAnsi="Times New Roman" w:cs="Times New Roman"/>
        </w:rPr>
        <w:t>9、对重大危险源进行安全评估；</w:t>
      </w:r>
    </w:p>
    <w:p>
      <w:pPr>
        <w:ind w:firstLine="560" w:firstLineChars="200"/>
        <w:rPr>
          <w:rFonts w:hint="default" w:ascii="Times New Roman" w:hAnsi="Times New Roman" w:cs="Times New Roman"/>
        </w:rPr>
      </w:pPr>
      <w:r>
        <w:rPr>
          <w:rFonts w:hint="default" w:ascii="Times New Roman" w:hAnsi="Times New Roman" w:cs="Times New Roman"/>
        </w:rPr>
        <w:t>10、整理、归纳安全评价结果；</w:t>
      </w:r>
    </w:p>
    <w:p>
      <w:pPr>
        <w:ind w:firstLine="560" w:firstLineChars="200"/>
        <w:rPr>
          <w:rFonts w:hint="default" w:ascii="Times New Roman" w:hAnsi="Times New Roman" w:cs="Times New Roman"/>
        </w:rPr>
      </w:pPr>
      <w:r>
        <w:rPr>
          <w:rFonts w:hint="default" w:ascii="Times New Roman" w:hAnsi="Times New Roman" w:cs="Times New Roman"/>
        </w:rPr>
        <w:t>11、对评价结果与</w:t>
      </w:r>
      <w:r>
        <w:rPr>
          <w:rFonts w:hint="default" w:ascii="Times New Roman" w:hAnsi="Times New Roman" w:cs="Times New Roman"/>
          <w:lang w:eastAsia="zh-CN"/>
        </w:rPr>
        <w:t>上饶市广氟医药化工有限公司</w:t>
      </w:r>
      <w:r>
        <w:rPr>
          <w:rFonts w:hint="default" w:ascii="Times New Roman" w:hAnsi="Times New Roman" w:cs="Times New Roman"/>
        </w:rPr>
        <w:t>相关人员再次交换意见；</w:t>
      </w:r>
    </w:p>
    <w:p>
      <w:pPr>
        <w:ind w:firstLine="560" w:firstLineChars="200"/>
        <w:rPr>
          <w:rFonts w:hint="default" w:ascii="Times New Roman" w:hAnsi="Times New Roman" w:cs="Times New Roman"/>
        </w:rPr>
      </w:pPr>
      <w:r>
        <w:rPr>
          <w:rFonts w:hint="default" w:ascii="Times New Roman" w:hAnsi="Times New Roman" w:cs="Times New Roman"/>
        </w:rPr>
        <w:t>12、编制安全评价报告。</w:t>
      </w:r>
    </w:p>
    <w:p>
      <w:pPr>
        <w:rPr>
          <w:sz w:val="24"/>
        </w:rPr>
      </w:pPr>
      <w:r>
        <w:rPr>
          <w:sz w:val="24"/>
        </w:rPr>
        <w:br w:type="page"/>
      </w:r>
    </w:p>
    <w:tbl>
      <w:tblPr>
        <w:tblStyle w:val="25"/>
        <w:tblpPr w:leftFromText="180" w:rightFromText="180" w:vertAnchor="text" w:horzAnchor="margin" w:tblpXSpec="center" w:tblpY="266"/>
        <w:tblW w:w="0" w:type="auto"/>
        <w:tblInd w:w="0" w:type="dxa"/>
        <w:tblLayout w:type="fixed"/>
        <w:tblCellMar>
          <w:top w:w="0" w:type="dxa"/>
          <w:left w:w="108" w:type="dxa"/>
          <w:bottom w:w="0" w:type="dxa"/>
          <w:right w:w="108" w:type="dxa"/>
        </w:tblCellMar>
      </w:tblPr>
      <w:tblGrid>
        <w:gridCol w:w="4718"/>
      </w:tblGrid>
      <w:tr>
        <w:tblPrEx>
          <w:tblCellMar>
            <w:top w:w="0" w:type="dxa"/>
            <w:left w:w="108" w:type="dxa"/>
            <w:bottom w:w="0" w:type="dxa"/>
            <w:right w:w="108" w:type="dxa"/>
          </w:tblCellMar>
        </w:tblPrEx>
        <w:trPr>
          <w:trHeight w:val="283" w:hRule="atLeast"/>
        </w:trPr>
        <w:tc>
          <w:tcPr>
            <w:tcW w:w="4718" w:type="dxa"/>
            <w:tcBorders>
              <w:top w:val="single" w:color="auto" w:sz="4" w:space="0"/>
              <w:left w:val="single" w:color="auto" w:sz="4" w:space="0"/>
              <w:bottom w:val="single" w:color="auto" w:sz="4" w:space="0"/>
              <w:right w:val="single" w:color="auto" w:sz="4" w:space="0"/>
            </w:tcBorders>
            <w:noWrap w:val="0"/>
            <w:vAlign w:val="top"/>
          </w:tcPr>
          <w:p>
            <w:pPr>
              <w:spacing w:line="360" w:lineRule="auto"/>
              <w:ind w:firstLine="1890" w:firstLineChars="900"/>
              <w:rPr>
                <w:sz w:val="21"/>
                <w:szCs w:val="21"/>
              </w:rPr>
            </w:pPr>
            <w:r>
              <w:rPr>
                <w:sz w:val="21"/>
                <w:szCs w:val="21"/>
              </w:rPr>
              <w:t>前期准备</w:t>
            </w:r>
          </w:p>
        </w:tc>
      </w:tr>
      <w:tr>
        <w:tblPrEx>
          <w:tblCellMar>
            <w:top w:w="0" w:type="dxa"/>
            <w:left w:w="108" w:type="dxa"/>
            <w:bottom w:w="0" w:type="dxa"/>
            <w:right w:w="108" w:type="dxa"/>
          </w:tblCellMar>
        </w:tblPrEx>
        <w:trPr>
          <w:trHeight w:val="271" w:hRule="atLeast"/>
        </w:trPr>
        <w:tc>
          <w:tcPr>
            <w:tcW w:w="4718" w:type="dxa"/>
            <w:tcBorders>
              <w:top w:val="single" w:color="auto" w:sz="4" w:space="0"/>
              <w:left w:val="nil"/>
              <w:bottom w:val="single" w:color="auto" w:sz="4" w:space="0"/>
              <w:right w:val="nil"/>
            </w:tcBorders>
            <w:noWrap w:val="0"/>
            <w:vAlign w:val="top"/>
          </w:tcPr>
          <w:p>
            <w:pPr>
              <w:autoSpaceDE w:val="0"/>
              <w:autoSpaceDN w:val="0"/>
              <w:adjustRightInd w:val="0"/>
              <w:snapToGrid w:val="0"/>
              <w:spacing w:line="360" w:lineRule="exact"/>
              <w:ind w:left="50" w:leftChars="18"/>
              <w:jc w:val="center"/>
              <w:rPr>
                <w:snapToGrid w:val="0"/>
                <w:sz w:val="21"/>
                <w:szCs w:val="21"/>
              </w:rPr>
            </w:pPr>
            <w:r>
              <w:rPr>
                <w:snapToGrid w:val="0"/>
                <w:sz w:val="21"/>
                <w:szCs w:val="21"/>
              </w:rPr>
              <w:t>↓</w:t>
            </w:r>
          </w:p>
        </w:tc>
      </w:tr>
      <w:tr>
        <w:tblPrEx>
          <w:tblCellMar>
            <w:top w:w="0" w:type="dxa"/>
            <w:left w:w="108" w:type="dxa"/>
            <w:bottom w:w="0" w:type="dxa"/>
            <w:right w:w="108" w:type="dxa"/>
          </w:tblCellMar>
        </w:tblPrEx>
        <w:trPr>
          <w:trHeight w:val="301" w:hRule="atLeast"/>
        </w:trPr>
        <w:tc>
          <w:tcPr>
            <w:tcW w:w="4718"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left="50" w:leftChars="18"/>
              <w:jc w:val="center"/>
              <w:rPr>
                <w:sz w:val="21"/>
                <w:szCs w:val="21"/>
              </w:rPr>
            </w:pPr>
            <w:r>
              <w:rPr>
                <w:sz w:val="21"/>
                <w:szCs w:val="21"/>
              </w:rPr>
              <w:t>辩识与分析危险、有害因素</w:t>
            </w:r>
          </w:p>
        </w:tc>
      </w:tr>
      <w:tr>
        <w:tblPrEx>
          <w:tblCellMar>
            <w:top w:w="0" w:type="dxa"/>
            <w:left w:w="108" w:type="dxa"/>
            <w:bottom w:w="0" w:type="dxa"/>
            <w:right w:w="108" w:type="dxa"/>
          </w:tblCellMar>
        </w:tblPrEx>
        <w:trPr>
          <w:trHeight w:val="253" w:hRule="atLeast"/>
        </w:trPr>
        <w:tc>
          <w:tcPr>
            <w:tcW w:w="4718" w:type="dxa"/>
            <w:tcBorders>
              <w:top w:val="single" w:color="auto" w:sz="4" w:space="0"/>
              <w:left w:val="nil"/>
              <w:bottom w:val="single" w:color="auto" w:sz="4" w:space="0"/>
              <w:right w:val="nil"/>
            </w:tcBorders>
            <w:noWrap w:val="0"/>
            <w:vAlign w:val="top"/>
          </w:tcPr>
          <w:p>
            <w:pPr>
              <w:autoSpaceDE w:val="0"/>
              <w:autoSpaceDN w:val="0"/>
              <w:adjustRightInd w:val="0"/>
              <w:snapToGrid w:val="0"/>
              <w:spacing w:line="360" w:lineRule="exact"/>
              <w:ind w:left="50" w:leftChars="18"/>
              <w:jc w:val="center"/>
              <w:rPr>
                <w:snapToGrid w:val="0"/>
                <w:sz w:val="21"/>
                <w:szCs w:val="21"/>
              </w:rPr>
            </w:pPr>
            <w:r>
              <w:rPr>
                <w:snapToGrid w:val="0"/>
                <w:sz w:val="21"/>
                <w:szCs w:val="21"/>
              </w:rPr>
              <w:t>↓</w:t>
            </w:r>
          </w:p>
        </w:tc>
      </w:tr>
      <w:tr>
        <w:tblPrEx>
          <w:tblCellMar>
            <w:top w:w="0" w:type="dxa"/>
            <w:left w:w="108" w:type="dxa"/>
            <w:bottom w:w="0" w:type="dxa"/>
            <w:right w:w="108" w:type="dxa"/>
          </w:tblCellMar>
        </w:tblPrEx>
        <w:trPr>
          <w:trHeight w:val="316" w:hRule="atLeast"/>
        </w:trPr>
        <w:tc>
          <w:tcPr>
            <w:tcW w:w="4718"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left="50" w:leftChars="18"/>
              <w:jc w:val="center"/>
              <w:rPr>
                <w:sz w:val="21"/>
                <w:szCs w:val="21"/>
              </w:rPr>
            </w:pPr>
            <w:r>
              <w:rPr>
                <w:sz w:val="21"/>
                <w:szCs w:val="21"/>
              </w:rPr>
              <w:t>划分评价单元</w:t>
            </w:r>
          </w:p>
        </w:tc>
      </w:tr>
      <w:tr>
        <w:tblPrEx>
          <w:tblCellMar>
            <w:top w:w="0" w:type="dxa"/>
            <w:left w:w="108" w:type="dxa"/>
            <w:bottom w:w="0" w:type="dxa"/>
            <w:right w:w="108" w:type="dxa"/>
          </w:tblCellMar>
        </w:tblPrEx>
        <w:trPr>
          <w:trHeight w:val="293" w:hRule="atLeast"/>
        </w:trPr>
        <w:tc>
          <w:tcPr>
            <w:tcW w:w="4718" w:type="dxa"/>
            <w:tcBorders>
              <w:top w:val="single" w:color="auto" w:sz="4" w:space="0"/>
              <w:left w:val="nil"/>
              <w:bottom w:val="single" w:color="auto" w:sz="4" w:space="0"/>
              <w:right w:val="nil"/>
            </w:tcBorders>
            <w:noWrap w:val="0"/>
            <w:vAlign w:val="top"/>
          </w:tcPr>
          <w:p>
            <w:pPr>
              <w:autoSpaceDE w:val="0"/>
              <w:autoSpaceDN w:val="0"/>
              <w:adjustRightInd w:val="0"/>
              <w:snapToGrid w:val="0"/>
              <w:spacing w:line="360" w:lineRule="exact"/>
              <w:ind w:left="50" w:leftChars="18"/>
              <w:jc w:val="center"/>
              <w:rPr>
                <w:snapToGrid w:val="0"/>
                <w:sz w:val="21"/>
                <w:szCs w:val="21"/>
              </w:rPr>
            </w:pPr>
            <w:r>
              <w:rPr>
                <w:snapToGrid w:val="0"/>
                <w:sz w:val="21"/>
                <w:szCs w:val="21"/>
              </w:rPr>
              <w:t>↓</w:t>
            </w:r>
          </w:p>
        </w:tc>
      </w:tr>
      <w:tr>
        <w:tblPrEx>
          <w:tblCellMar>
            <w:top w:w="0" w:type="dxa"/>
            <w:left w:w="108" w:type="dxa"/>
            <w:bottom w:w="0" w:type="dxa"/>
            <w:right w:w="108" w:type="dxa"/>
          </w:tblCellMar>
        </w:tblPrEx>
        <w:trPr>
          <w:trHeight w:val="289" w:hRule="atLeast"/>
        </w:trPr>
        <w:tc>
          <w:tcPr>
            <w:tcW w:w="4718"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left="50" w:leftChars="18"/>
              <w:jc w:val="center"/>
              <w:rPr>
                <w:sz w:val="21"/>
                <w:szCs w:val="21"/>
              </w:rPr>
            </w:pPr>
            <w:r>
              <w:rPr>
                <w:sz w:val="21"/>
                <w:szCs w:val="21"/>
              </w:rPr>
              <w:t>选择评价方法</w:t>
            </w:r>
          </w:p>
        </w:tc>
      </w:tr>
      <w:tr>
        <w:tblPrEx>
          <w:tblCellMar>
            <w:top w:w="0" w:type="dxa"/>
            <w:left w:w="108" w:type="dxa"/>
            <w:bottom w:w="0" w:type="dxa"/>
            <w:right w:w="108" w:type="dxa"/>
          </w:tblCellMar>
        </w:tblPrEx>
        <w:trPr>
          <w:trHeight w:val="240" w:hRule="atLeast"/>
        </w:trPr>
        <w:tc>
          <w:tcPr>
            <w:tcW w:w="4718" w:type="dxa"/>
            <w:tcBorders>
              <w:top w:val="single" w:color="auto" w:sz="4" w:space="0"/>
              <w:left w:val="nil"/>
              <w:bottom w:val="single" w:color="auto" w:sz="4" w:space="0"/>
              <w:right w:val="nil"/>
            </w:tcBorders>
            <w:noWrap w:val="0"/>
            <w:vAlign w:val="top"/>
          </w:tcPr>
          <w:p>
            <w:pPr>
              <w:autoSpaceDE w:val="0"/>
              <w:autoSpaceDN w:val="0"/>
              <w:adjustRightInd w:val="0"/>
              <w:snapToGrid w:val="0"/>
              <w:spacing w:line="360" w:lineRule="exact"/>
              <w:ind w:left="50" w:leftChars="18"/>
              <w:jc w:val="center"/>
              <w:rPr>
                <w:snapToGrid w:val="0"/>
                <w:sz w:val="21"/>
                <w:szCs w:val="21"/>
              </w:rPr>
            </w:pPr>
            <w:r>
              <w:rPr>
                <w:snapToGrid w:val="0"/>
                <w:sz w:val="21"/>
                <w:szCs w:val="21"/>
              </w:rPr>
              <w:t>↓</w:t>
            </w:r>
          </w:p>
        </w:tc>
      </w:tr>
      <w:tr>
        <w:tblPrEx>
          <w:tblCellMar>
            <w:top w:w="0" w:type="dxa"/>
            <w:left w:w="108" w:type="dxa"/>
            <w:bottom w:w="0" w:type="dxa"/>
            <w:right w:w="108" w:type="dxa"/>
          </w:tblCellMar>
        </w:tblPrEx>
        <w:trPr>
          <w:trHeight w:val="314" w:hRule="atLeast"/>
        </w:trPr>
        <w:tc>
          <w:tcPr>
            <w:tcW w:w="4718"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left="50" w:leftChars="18"/>
              <w:jc w:val="center"/>
              <w:rPr>
                <w:sz w:val="21"/>
                <w:szCs w:val="21"/>
              </w:rPr>
            </w:pPr>
            <w:r>
              <w:rPr>
                <w:sz w:val="21"/>
                <w:szCs w:val="21"/>
              </w:rPr>
              <w:t>定性、定量评价</w:t>
            </w:r>
          </w:p>
        </w:tc>
      </w:tr>
      <w:tr>
        <w:tblPrEx>
          <w:tblCellMar>
            <w:top w:w="0" w:type="dxa"/>
            <w:left w:w="108" w:type="dxa"/>
            <w:bottom w:w="0" w:type="dxa"/>
            <w:right w:w="108" w:type="dxa"/>
          </w:tblCellMar>
        </w:tblPrEx>
        <w:trPr>
          <w:trHeight w:val="280" w:hRule="atLeast"/>
        </w:trPr>
        <w:tc>
          <w:tcPr>
            <w:tcW w:w="4718" w:type="dxa"/>
            <w:tcBorders>
              <w:top w:val="single" w:color="auto" w:sz="4" w:space="0"/>
              <w:left w:val="nil"/>
              <w:bottom w:val="single" w:color="auto" w:sz="4" w:space="0"/>
              <w:right w:val="nil"/>
            </w:tcBorders>
            <w:noWrap w:val="0"/>
            <w:vAlign w:val="top"/>
          </w:tcPr>
          <w:p>
            <w:pPr>
              <w:autoSpaceDE w:val="0"/>
              <w:autoSpaceDN w:val="0"/>
              <w:adjustRightInd w:val="0"/>
              <w:snapToGrid w:val="0"/>
              <w:spacing w:line="360" w:lineRule="exact"/>
              <w:ind w:left="50" w:leftChars="18"/>
              <w:jc w:val="center"/>
              <w:rPr>
                <w:snapToGrid w:val="0"/>
                <w:sz w:val="21"/>
                <w:szCs w:val="21"/>
              </w:rPr>
            </w:pPr>
            <w:r>
              <w:rPr>
                <w:snapToGrid w:val="0"/>
                <w:sz w:val="21"/>
                <w:szCs w:val="21"/>
              </w:rPr>
              <w:t>↓</w:t>
            </w:r>
          </w:p>
        </w:tc>
      </w:tr>
      <w:tr>
        <w:tblPrEx>
          <w:tblCellMar>
            <w:top w:w="0" w:type="dxa"/>
            <w:left w:w="108" w:type="dxa"/>
            <w:bottom w:w="0" w:type="dxa"/>
            <w:right w:w="108" w:type="dxa"/>
          </w:tblCellMar>
        </w:tblPrEx>
        <w:trPr>
          <w:trHeight w:val="303" w:hRule="atLeast"/>
        </w:trPr>
        <w:tc>
          <w:tcPr>
            <w:tcW w:w="4718"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left="50" w:leftChars="18"/>
              <w:jc w:val="center"/>
              <w:rPr>
                <w:sz w:val="21"/>
                <w:szCs w:val="21"/>
              </w:rPr>
            </w:pPr>
            <w:r>
              <w:rPr>
                <w:sz w:val="21"/>
                <w:szCs w:val="21"/>
              </w:rPr>
              <w:t>提出安全对策措施建议</w:t>
            </w:r>
          </w:p>
        </w:tc>
      </w:tr>
      <w:tr>
        <w:tblPrEx>
          <w:tblCellMar>
            <w:top w:w="0" w:type="dxa"/>
            <w:left w:w="108" w:type="dxa"/>
            <w:bottom w:w="0" w:type="dxa"/>
            <w:right w:w="108" w:type="dxa"/>
          </w:tblCellMar>
        </w:tblPrEx>
        <w:trPr>
          <w:trHeight w:val="271" w:hRule="atLeast"/>
        </w:trPr>
        <w:tc>
          <w:tcPr>
            <w:tcW w:w="4718" w:type="dxa"/>
            <w:tcBorders>
              <w:top w:val="single" w:color="auto" w:sz="4" w:space="0"/>
              <w:left w:val="nil"/>
              <w:bottom w:val="single" w:color="auto" w:sz="4" w:space="0"/>
              <w:right w:val="nil"/>
            </w:tcBorders>
            <w:noWrap w:val="0"/>
            <w:vAlign w:val="top"/>
          </w:tcPr>
          <w:p>
            <w:pPr>
              <w:autoSpaceDE w:val="0"/>
              <w:autoSpaceDN w:val="0"/>
              <w:adjustRightInd w:val="0"/>
              <w:snapToGrid w:val="0"/>
              <w:spacing w:line="360" w:lineRule="exact"/>
              <w:ind w:left="50" w:leftChars="18"/>
              <w:jc w:val="center"/>
              <w:rPr>
                <w:snapToGrid w:val="0"/>
                <w:sz w:val="21"/>
                <w:szCs w:val="21"/>
              </w:rPr>
            </w:pPr>
            <w:r>
              <w:rPr>
                <w:snapToGrid w:val="0"/>
                <w:sz w:val="21"/>
                <w:szCs w:val="21"/>
              </w:rPr>
              <w:t>↓</w:t>
            </w:r>
          </w:p>
        </w:tc>
      </w:tr>
      <w:tr>
        <w:tblPrEx>
          <w:tblCellMar>
            <w:top w:w="0" w:type="dxa"/>
            <w:left w:w="108" w:type="dxa"/>
            <w:bottom w:w="0" w:type="dxa"/>
            <w:right w:w="108" w:type="dxa"/>
          </w:tblCellMar>
        </w:tblPrEx>
        <w:trPr>
          <w:trHeight w:val="293" w:hRule="atLeast"/>
        </w:trPr>
        <w:tc>
          <w:tcPr>
            <w:tcW w:w="4718"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left="50" w:leftChars="18"/>
              <w:jc w:val="center"/>
              <w:rPr>
                <w:sz w:val="21"/>
                <w:szCs w:val="21"/>
              </w:rPr>
            </w:pPr>
            <w:r>
              <w:rPr>
                <w:sz w:val="21"/>
                <w:szCs w:val="21"/>
              </w:rPr>
              <w:t>做出评价结论</w:t>
            </w:r>
          </w:p>
        </w:tc>
      </w:tr>
      <w:tr>
        <w:tblPrEx>
          <w:tblCellMar>
            <w:top w:w="0" w:type="dxa"/>
            <w:left w:w="108" w:type="dxa"/>
            <w:bottom w:w="0" w:type="dxa"/>
            <w:right w:w="108" w:type="dxa"/>
          </w:tblCellMar>
        </w:tblPrEx>
        <w:trPr>
          <w:trHeight w:val="276" w:hRule="atLeast"/>
        </w:trPr>
        <w:tc>
          <w:tcPr>
            <w:tcW w:w="4718" w:type="dxa"/>
            <w:tcBorders>
              <w:top w:val="single" w:color="auto" w:sz="4" w:space="0"/>
              <w:left w:val="nil"/>
              <w:bottom w:val="single" w:color="auto" w:sz="4" w:space="0"/>
              <w:right w:val="nil"/>
            </w:tcBorders>
            <w:noWrap w:val="0"/>
            <w:vAlign w:val="top"/>
          </w:tcPr>
          <w:p>
            <w:pPr>
              <w:autoSpaceDE w:val="0"/>
              <w:autoSpaceDN w:val="0"/>
              <w:adjustRightInd w:val="0"/>
              <w:snapToGrid w:val="0"/>
              <w:spacing w:line="360" w:lineRule="exact"/>
              <w:ind w:left="50" w:leftChars="18"/>
              <w:jc w:val="center"/>
              <w:rPr>
                <w:snapToGrid w:val="0"/>
                <w:sz w:val="21"/>
                <w:szCs w:val="21"/>
              </w:rPr>
            </w:pPr>
            <w:r>
              <w:rPr>
                <w:snapToGrid w:val="0"/>
                <w:sz w:val="21"/>
                <w:szCs w:val="21"/>
              </w:rPr>
              <w:t>↓</w:t>
            </w:r>
          </w:p>
        </w:tc>
      </w:tr>
      <w:tr>
        <w:tblPrEx>
          <w:tblCellMar>
            <w:top w:w="0" w:type="dxa"/>
            <w:left w:w="108" w:type="dxa"/>
            <w:bottom w:w="0" w:type="dxa"/>
            <w:right w:w="108" w:type="dxa"/>
          </w:tblCellMar>
        </w:tblPrEx>
        <w:trPr>
          <w:trHeight w:val="293" w:hRule="atLeast"/>
        </w:trPr>
        <w:tc>
          <w:tcPr>
            <w:tcW w:w="4718"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left="50" w:leftChars="18"/>
              <w:jc w:val="center"/>
              <w:rPr>
                <w:sz w:val="21"/>
                <w:szCs w:val="21"/>
              </w:rPr>
            </w:pPr>
            <w:r>
              <w:rPr>
                <w:sz w:val="21"/>
                <w:szCs w:val="21"/>
              </w:rPr>
              <w:t>编制安全评价报告</w:t>
            </w:r>
          </w:p>
        </w:tc>
      </w:tr>
    </w:tbl>
    <w:p>
      <w:pPr>
        <w:ind w:firstLine="560" w:firstLineChars="200"/>
      </w:pPr>
    </w:p>
    <w:p/>
    <w:p/>
    <w:p/>
    <w:p/>
    <w:p/>
    <w:p/>
    <w:p/>
    <w:p/>
    <w:p>
      <w:pPr>
        <w:spacing w:line="240" w:lineRule="auto"/>
        <w:ind w:firstLine="560" w:firstLineChars="200"/>
        <w:jc w:val="center"/>
      </w:pPr>
    </w:p>
    <w:p>
      <w:pPr>
        <w:pStyle w:val="10"/>
        <w:ind w:firstLine="560" w:firstLineChars="200"/>
        <w:jc w:val="center"/>
        <w:rPr>
          <w:rFonts w:hint="eastAsia"/>
        </w:rPr>
      </w:pPr>
    </w:p>
    <w:p>
      <w:pPr>
        <w:pStyle w:val="10"/>
        <w:ind w:firstLine="560" w:firstLineChars="200"/>
        <w:jc w:val="center"/>
        <w:rPr>
          <w:rFonts w:hint="eastAsia"/>
        </w:rPr>
      </w:pPr>
      <w:r>
        <w:rPr>
          <w:rFonts w:hint="eastAsia"/>
        </w:rPr>
        <w:t>图</w:t>
      </w:r>
      <w:r>
        <w:rPr>
          <w:rFonts w:hint="eastAsia"/>
          <w:lang w:val="en-US" w:eastAsia="zh-CN"/>
        </w:rPr>
        <w:t>4.1</w:t>
      </w:r>
      <w:r>
        <w:rPr>
          <w:rFonts w:hint="eastAsia"/>
        </w:rPr>
        <w:t>-1 安全评价工作程序</w:t>
      </w:r>
    </w:p>
    <w:p>
      <w:pPr>
        <w:rPr>
          <w:sz w:val="24"/>
        </w:rPr>
      </w:pPr>
    </w:p>
    <w:p>
      <w:pPr>
        <w:pStyle w:val="10"/>
        <w:ind w:firstLine="560" w:firstLineChars="200"/>
        <w:jc w:val="center"/>
        <w:rPr>
          <w:rFonts w:hint="eastAsia"/>
        </w:rPr>
      </w:pPr>
    </w:p>
    <w:p>
      <w:pPr>
        <w:pStyle w:val="6"/>
        <w:rPr>
          <w:rFonts w:hint="default"/>
        </w:rPr>
      </w:pPr>
    </w:p>
    <w:p>
      <w:pPr>
        <w:pStyle w:val="3"/>
        <w:rPr>
          <w:rFonts w:hint="default" w:ascii="Times New Roman" w:hAnsi="Times New Roman" w:cs="Times New Roman"/>
        </w:rPr>
      </w:pPr>
      <w:r>
        <w:rPr>
          <w:rFonts w:hint="default" w:ascii="Times New Roman" w:hAnsi="Times New Roman" w:cs="Times New Roman"/>
        </w:rPr>
        <w:br w:type="page"/>
      </w:r>
      <w:bookmarkStart w:id="61" w:name="_Toc18456"/>
      <w:r>
        <w:rPr>
          <w:rFonts w:hint="default" w:ascii="Times New Roman" w:hAnsi="Times New Roman" w:cs="Times New Roman"/>
          <w:lang w:val="en-US" w:eastAsia="zh-CN"/>
        </w:rPr>
        <w:t>5</w:t>
      </w:r>
      <w:r>
        <w:rPr>
          <w:rFonts w:hint="default" w:ascii="Times New Roman" w:hAnsi="Times New Roman" w:cs="Times New Roman"/>
        </w:rPr>
        <w:t>危险、有害因素分析结果</w:t>
      </w:r>
      <w:bookmarkEnd w:id="61"/>
    </w:p>
    <w:p>
      <w:pPr>
        <w:pStyle w:val="4"/>
        <w:rPr>
          <w:rFonts w:hint="default" w:ascii="Times New Roman" w:hAnsi="Times New Roman" w:cs="Times New Roman"/>
        </w:rPr>
      </w:pPr>
      <w:bookmarkStart w:id="62" w:name="_Toc6809"/>
      <w:r>
        <w:rPr>
          <w:rFonts w:hint="default" w:ascii="Times New Roman" w:hAnsi="Times New Roman" w:cs="Times New Roman"/>
          <w:lang w:val="en-US" w:eastAsia="zh-CN"/>
        </w:rPr>
        <w:t>5</w:t>
      </w:r>
      <w:r>
        <w:rPr>
          <w:rFonts w:hint="default" w:ascii="Times New Roman" w:hAnsi="Times New Roman" w:cs="Times New Roman"/>
        </w:rPr>
        <w:t>.1主要危险化学品物质情况</w:t>
      </w:r>
      <w:bookmarkEnd w:id="62"/>
    </w:p>
    <w:p>
      <w:pPr>
        <w:ind w:firstLine="560" w:firstLineChars="200"/>
        <w:rPr>
          <w:rFonts w:hint="default" w:ascii="Times New Roman" w:hAnsi="Times New Roman" w:cs="Times New Roman"/>
        </w:rPr>
      </w:pPr>
      <w:r>
        <w:rPr>
          <w:rFonts w:hint="default" w:ascii="Times New Roman" w:hAnsi="Times New Roman" w:cs="Times New Roman"/>
        </w:rPr>
        <w:t>1、辨识依据</w:t>
      </w:r>
    </w:p>
    <w:p>
      <w:pPr>
        <w:ind w:firstLine="560" w:firstLineChars="200"/>
        <w:rPr>
          <w:rFonts w:hint="default" w:ascii="Times New Roman" w:hAnsi="Times New Roman" w:cs="Times New Roman"/>
        </w:rPr>
      </w:pPr>
      <w:r>
        <w:rPr>
          <w:rFonts w:hint="default" w:ascii="Times New Roman" w:hAnsi="Times New Roman" w:cs="Times New Roman"/>
        </w:rPr>
        <w:t>《危险货物分类和品名编号》（GB6944-2012）</w:t>
      </w:r>
    </w:p>
    <w:p>
      <w:pPr>
        <w:ind w:firstLine="560" w:firstLineChars="200"/>
        <w:rPr>
          <w:rFonts w:hint="default" w:ascii="Times New Roman" w:hAnsi="Times New Roman" w:cs="Times New Roman"/>
        </w:rPr>
      </w:pPr>
      <w:r>
        <w:rPr>
          <w:rFonts w:hint="default" w:ascii="Times New Roman" w:hAnsi="Times New Roman" w:cs="Times New Roman"/>
        </w:rPr>
        <w:t>《化学品分类和危险性公示 通则》（GB13690-2009）</w:t>
      </w:r>
    </w:p>
    <w:p>
      <w:pPr>
        <w:ind w:firstLine="560" w:firstLineChars="200"/>
        <w:rPr>
          <w:rFonts w:hint="default" w:ascii="Times New Roman" w:hAnsi="Times New Roman" w:cs="Times New Roman"/>
        </w:rPr>
      </w:pPr>
      <w:r>
        <w:rPr>
          <w:rFonts w:hint="default" w:ascii="Times New Roman" w:hAnsi="Times New Roman" w:cs="Times New Roman"/>
        </w:rPr>
        <w:t>《危险货物品名表》（GB12268-2012）</w:t>
      </w:r>
    </w:p>
    <w:p>
      <w:pPr>
        <w:ind w:firstLine="560" w:firstLineChars="200"/>
        <w:rPr>
          <w:rFonts w:hint="default" w:ascii="Times New Roman" w:hAnsi="Times New Roman" w:cs="Times New Roman"/>
        </w:rPr>
      </w:pPr>
      <w:r>
        <w:rPr>
          <w:rFonts w:hint="default" w:ascii="Times New Roman" w:hAnsi="Times New Roman" w:cs="Times New Roman"/>
        </w:rPr>
        <w:t>《危险化学品目录》（2022调整版）应急管理部会同十部门调整[2022]第8号</w:t>
      </w:r>
    </w:p>
    <w:p>
      <w:pPr>
        <w:ind w:firstLine="560" w:firstLineChars="200"/>
        <w:rPr>
          <w:rFonts w:hint="default" w:ascii="Times New Roman" w:hAnsi="Times New Roman" w:cs="Times New Roman"/>
        </w:rPr>
      </w:pPr>
      <w:r>
        <w:rPr>
          <w:rFonts w:hint="default" w:ascii="Times New Roman" w:hAnsi="Times New Roman" w:cs="Times New Roman"/>
        </w:rPr>
        <w:t>2、辨识结果</w:t>
      </w:r>
    </w:p>
    <w:p>
      <w:pPr>
        <w:ind w:firstLine="560" w:firstLineChars="200"/>
        <w:rPr>
          <w:rFonts w:hint="default" w:ascii="Times New Roman" w:hAnsi="Times New Roman" w:cs="Times New Roman"/>
        </w:rPr>
      </w:pPr>
      <w:r>
        <w:rPr>
          <w:rFonts w:hint="default" w:ascii="Times New Roman" w:hAnsi="Times New Roman" w:cs="Times New Roman"/>
          <w:lang w:eastAsia="zh-CN"/>
        </w:rPr>
        <w:t>上饶市广氟医药化工有限公司</w:t>
      </w:r>
      <w:r>
        <w:rPr>
          <w:rFonts w:hint="default" w:ascii="Times New Roman" w:hAnsi="Times New Roman" w:cs="Times New Roman"/>
        </w:rPr>
        <w:t>在役生产装置涉及的</w:t>
      </w:r>
      <w:r>
        <w:rPr>
          <w:rFonts w:hint="default" w:ascii="Times New Roman" w:hAnsi="Times New Roman" w:cs="Times New Roman"/>
          <w:lang w:eastAsia="zh-CN"/>
        </w:rPr>
        <w:t>物料</w:t>
      </w:r>
      <w:r>
        <w:rPr>
          <w:rFonts w:hint="default" w:ascii="Times New Roman" w:hAnsi="Times New Roman" w:cs="Times New Roman"/>
        </w:rPr>
        <w:t>为有水氢氟酸、有水氟硼酸、有水氟硅酸、石英砂、碳酸钾、氢氧化钾、氯化钾、碳酸锌、碳酸钡、碳酸镁、硼酸、碳酸钠、氢氧化钠、碳酸锂、氢氧化铝、钛白粉、碳酸锆、氟硅酸钾、氟硅酸钡、氟硅酸镁、氟硅酸锌、氟硼酸钾、氟硼酸钠、氟硼酸锂、氟化钾、氟化氢钾、氟锆酸、碳酸锶、氟硅酸钠、氟铝酸钾、氟铝酸钠、氟化钡、氟化钠、氟化氢钠、氟化锶、氟化锌、氟化锂、氟钛酸</w:t>
      </w:r>
      <w:r>
        <w:rPr>
          <w:rFonts w:hint="default" w:ascii="Times New Roman" w:hAnsi="Times New Roman" w:cs="Times New Roman"/>
          <w:lang w:eastAsia="zh-CN"/>
        </w:rPr>
        <w:t>等</w:t>
      </w:r>
      <w:r>
        <w:rPr>
          <w:rFonts w:hint="default" w:ascii="Times New Roman" w:hAnsi="Times New Roman" w:cs="Times New Roman"/>
        </w:rPr>
        <w:t>。</w:t>
      </w:r>
    </w:p>
    <w:p>
      <w:pPr>
        <w:ind w:firstLine="560" w:firstLineChars="200"/>
        <w:rPr>
          <w:rFonts w:hint="default" w:ascii="Times New Roman" w:hAnsi="Times New Roman" w:cs="Times New Roman"/>
        </w:rPr>
        <w:sectPr>
          <w:headerReference r:id="rId7" w:type="default"/>
          <w:footerReference r:id="rId8" w:type="default"/>
          <w:pgSz w:w="11906" w:h="16838"/>
          <w:pgMar w:top="1417" w:right="1417" w:bottom="1417" w:left="1417" w:header="851" w:footer="992" w:gutter="0"/>
          <w:pgBorders>
            <w:top w:val="none" w:sz="0" w:space="0"/>
            <w:left w:val="none" w:sz="0" w:space="0"/>
            <w:bottom w:val="none" w:sz="0" w:space="0"/>
            <w:right w:val="none" w:sz="0" w:space="0"/>
          </w:pgBorders>
          <w:pgNumType w:start="1"/>
          <w:cols w:space="0" w:num="1"/>
          <w:docGrid w:type="lines" w:linePitch="394" w:charSpace="0"/>
        </w:sectPr>
      </w:pPr>
      <w:r>
        <w:rPr>
          <w:rFonts w:hint="default" w:ascii="Times New Roman" w:hAnsi="Times New Roman" w:cs="Times New Roman"/>
        </w:rPr>
        <w:t>根据《危险化学品目录》（2022调整版）：</w:t>
      </w:r>
      <w:r>
        <w:rPr>
          <w:rFonts w:hint="default" w:ascii="Times New Roman" w:hAnsi="Times New Roman" w:cs="Times New Roman"/>
          <w:color w:val="000000" w:themeColor="text1"/>
        </w:rPr>
        <w:t>有水氢氟酸、有水氟硅酸、硼酸、氟硅酸钠、氟化钡、氟化钠、氟化氢钠、氟化锌、氟化锂、有水氟硼酸</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氢氧化钾</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氢氧化钠</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氟硅酸钾</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氟硅酸钡</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氟硅酸镁</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氟硅酸锌</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氟化钾</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氟化氢钾</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lang w:val="en-US" w:eastAsia="zh-CN"/>
        </w:rPr>
        <w:t>柴油</w:t>
      </w:r>
      <w:r>
        <w:rPr>
          <w:rFonts w:hint="default" w:ascii="Times New Roman" w:hAnsi="Times New Roman" w:cs="Times New Roman"/>
          <w:color w:val="000000" w:themeColor="text1"/>
          <w:lang w:eastAsia="zh-CN"/>
        </w:rPr>
        <w:t>（燃料）</w:t>
      </w:r>
      <w:r>
        <w:rPr>
          <w:rFonts w:hint="default" w:ascii="Times New Roman" w:hAnsi="Times New Roman" w:cs="Times New Roman"/>
        </w:rPr>
        <w:t>属于危险化学品。</w:t>
      </w:r>
    </w:p>
    <w:p>
      <w:pPr>
        <w:jc w:val="center"/>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5</w:t>
      </w:r>
      <w:r>
        <w:rPr>
          <w:rFonts w:hint="default" w:ascii="Times New Roman" w:hAnsi="Times New Roman" w:cs="Times New Roman"/>
        </w:rPr>
        <w:t>.1-1 危险化学品及危险性类别一览表</w:t>
      </w:r>
    </w:p>
    <w:tbl>
      <w:tblPr>
        <w:tblStyle w:val="25"/>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1679"/>
        <w:gridCol w:w="1992"/>
        <w:gridCol w:w="1375"/>
        <w:gridCol w:w="1170"/>
        <w:gridCol w:w="1534"/>
        <w:gridCol w:w="3861"/>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序号</w:t>
            </w:r>
          </w:p>
        </w:tc>
        <w:tc>
          <w:tcPr>
            <w:tcW w:w="59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物质名称</w:t>
            </w:r>
          </w:p>
        </w:tc>
        <w:tc>
          <w:tcPr>
            <w:tcW w:w="70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CAS号</w:t>
            </w:r>
          </w:p>
        </w:tc>
        <w:tc>
          <w:tcPr>
            <w:tcW w:w="484" w:type="pct"/>
            <w:tcBorders>
              <w:left w:val="nil"/>
            </w:tcBorders>
            <w:vAlign w:val="center"/>
          </w:tcPr>
          <w:p>
            <w:pPr>
              <w:keepNext w:val="0"/>
              <w:keepLines w:val="0"/>
              <w:pageBreakBefore w:val="0"/>
              <w:kinsoku/>
              <w:wordWrap/>
              <w:overflowPunct/>
              <w:topLinePunct w:val="0"/>
              <w:autoSpaceDE/>
              <w:autoSpaceDN/>
              <w:bidi w:val="0"/>
              <w:snapToGrid/>
              <w:spacing w:line="28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闪点℃</w:t>
            </w:r>
          </w:p>
        </w:tc>
        <w:tc>
          <w:tcPr>
            <w:tcW w:w="412" w:type="pct"/>
            <w:tcBorders>
              <w:left w:val="nil"/>
            </w:tcBorders>
            <w:vAlign w:val="center"/>
          </w:tcPr>
          <w:p>
            <w:pPr>
              <w:keepNext w:val="0"/>
              <w:keepLines w:val="0"/>
              <w:pageBreakBefore w:val="0"/>
              <w:kinsoku/>
              <w:wordWrap/>
              <w:overflowPunct/>
              <w:topLinePunct w:val="0"/>
              <w:autoSpaceDE/>
              <w:autoSpaceDN/>
              <w:bidi w:val="0"/>
              <w:snapToGrid/>
              <w:spacing w:line="28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爆炸极限V%</w:t>
            </w:r>
          </w:p>
        </w:tc>
        <w:tc>
          <w:tcPr>
            <w:tcW w:w="540"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火灾危险性分类</w:t>
            </w:r>
          </w:p>
        </w:tc>
        <w:tc>
          <w:tcPr>
            <w:tcW w:w="1359"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危险性类别</w:t>
            </w:r>
          </w:p>
        </w:tc>
        <w:tc>
          <w:tcPr>
            <w:tcW w:w="635"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氟硅酸</w:t>
            </w:r>
          </w:p>
        </w:tc>
        <w:tc>
          <w:tcPr>
            <w:tcW w:w="70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16961-83-4</w:t>
            </w:r>
          </w:p>
        </w:tc>
        <w:tc>
          <w:tcPr>
            <w:tcW w:w="484"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戊</w:t>
            </w:r>
          </w:p>
        </w:tc>
        <w:tc>
          <w:tcPr>
            <w:tcW w:w="1359"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皮肤腐蚀/刺激,类别1B</w:t>
            </w:r>
          </w:p>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严重眼损伤/眼刺激,类别1</w:t>
            </w:r>
          </w:p>
        </w:tc>
        <w:tc>
          <w:tcPr>
            <w:tcW w:w="635"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硼酸</w:t>
            </w:r>
          </w:p>
        </w:tc>
        <w:tc>
          <w:tcPr>
            <w:tcW w:w="70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10043-35-3</w:t>
            </w:r>
          </w:p>
        </w:tc>
        <w:tc>
          <w:tcPr>
            <w:tcW w:w="484"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丁</w:t>
            </w:r>
          </w:p>
        </w:tc>
        <w:tc>
          <w:tcPr>
            <w:tcW w:w="1359"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both"/>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生殖毒性,类别1B</w:t>
            </w:r>
          </w:p>
        </w:tc>
        <w:tc>
          <w:tcPr>
            <w:tcW w:w="635"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both"/>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氢氧化钾</w:t>
            </w:r>
          </w:p>
        </w:tc>
        <w:tc>
          <w:tcPr>
            <w:tcW w:w="70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1310-58-3</w:t>
            </w:r>
          </w:p>
        </w:tc>
        <w:tc>
          <w:tcPr>
            <w:tcW w:w="484"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丁</w:t>
            </w:r>
          </w:p>
        </w:tc>
        <w:tc>
          <w:tcPr>
            <w:tcW w:w="1359"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皮肤腐蚀/刺激,类别1A</w:t>
            </w:r>
          </w:p>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严重眼损伤/眼刺激,类别1</w:t>
            </w:r>
          </w:p>
        </w:tc>
        <w:tc>
          <w:tcPr>
            <w:tcW w:w="635"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氢氧化钠</w:t>
            </w:r>
          </w:p>
        </w:tc>
        <w:tc>
          <w:tcPr>
            <w:tcW w:w="70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1310-73-2</w:t>
            </w:r>
          </w:p>
        </w:tc>
        <w:tc>
          <w:tcPr>
            <w:tcW w:w="484"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丁</w:t>
            </w:r>
          </w:p>
        </w:tc>
        <w:tc>
          <w:tcPr>
            <w:tcW w:w="1359"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皮肤腐蚀/刺激,类别1A</w:t>
            </w:r>
          </w:p>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严重眼损伤/眼刺激,类别1</w:t>
            </w:r>
          </w:p>
        </w:tc>
        <w:tc>
          <w:tcPr>
            <w:tcW w:w="635"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氟硅酸钾</w:t>
            </w:r>
          </w:p>
        </w:tc>
        <w:tc>
          <w:tcPr>
            <w:tcW w:w="70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16871-90-2</w:t>
            </w:r>
          </w:p>
        </w:tc>
        <w:tc>
          <w:tcPr>
            <w:tcW w:w="484"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丁</w:t>
            </w:r>
          </w:p>
        </w:tc>
        <w:tc>
          <w:tcPr>
            <w:tcW w:w="1359"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急性毒性-经口,类别3*</w:t>
            </w:r>
          </w:p>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急性毒性-经皮,类别3*</w:t>
            </w:r>
          </w:p>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急性毒性-吸入,类别3*</w:t>
            </w:r>
          </w:p>
        </w:tc>
        <w:tc>
          <w:tcPr>
            <w:tcW w:w="635"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氟硅酸钡</w:t>
            </w:r>
          </w:p>
        </w:tc>
        <w:tc>
          <w:tcPr>
            <w:tcW w:w="70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17125-80-3</w:t>
            </w:r>
          </w:p>
        </w:tc>
        <w:tc>
          <w:tcPr>
            <w:tcW w:w="484"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丁</w:t>
            </w:r>
          </w:p>
        </w:tc>
        <w:tc>
          <w:tcPr>
            <w:tcW w:w="1359"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急性毒性-经口,类别3</w:t>
            </w:r>
          </w:p>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严重眼损伤/眼刺激,类别2</w:t>
            </w:r>
          </w:p>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特异性靶器官毒性-一次接触,类别3（呼吸道刺激）</w:t>
            </w:r>
          </w:p>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特异性靶器官毒性-反复接触,类别1</w:t>
            </w:r>
          </w:p>
        </w:tc>
        <w:tc>
          <w:tcPr>
            <w:tcW w:w="635"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氟硅酸镁</w:t>
            </w:r>
          </w:p>
        </w:tc>
        <w:tc>
          <w:tcPr>
            <w:tcW w:w="70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16949-65-8</w:t>
            </w:r>
          </w:p>
        </w:tc>
        <w:tc>
          <w:tcPr>
            <w:tcW w:w="484"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丁</w:t>
            </w:r>
          </w:p>
        </w:tc>
        <w:tc>
          <w:tcPr>
            <w:tcW w:w="1359"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急性毒性-经口,类别3*</w:t>
            </w:r>
          </w:p>
        </w:tc>
        <w:tc>
          <w:tcPr>
            <w:tcW w:w="635"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氟硅酸锌</w:t>
            </w:r>
          </w:p>
        </w:tc>
        <w:tc>
          <w:tcPr>
            <w:tcW w:w="70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16871-71-9</w:t>
            </w:r>
          </w:p>
        </w:tc>
        <w:tc>
          <w:tcPr>
            <w:tcW w:w="484"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丁</w:t>
            </w:r>
          </w:p>
        </w:tc>
        <w:tc>
          <w:tcPr>
            <w:tcW w:w="1359"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急性毒性-经口,类别3</w:t>
            </w:r>
          </w:p>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严重眼损伤/眼刺激,类别2</w:t>
            </w:r>
          </w:p>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特异性靶器官毒性-一次接触,类别3（呼吸道刺激）</w:t>
            </w:r>
          </w:p>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特异性靶器官毒性-反复接触,类别1</w:t>
            </w:r>
          </w:p>
        </w:tc>
        <w:tc>
          <w:tcPr>
            <w:tcW w:w="635"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氟化钾</w:t>
            </w:r>
          </w:p>
        </w:tc>
        <w:tc>
          <w:tcPr>
            <w:tcW w:w="70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7789-23-3</w:t>
            </w:r>
          </w:p>
        </w:tc>
        <w:tc>
          <w:tcPr>
            <w:tcW w:w="484"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丁</w:t>
            </w:r>
          </w:p>
        </w:tc>
        <w:tc>
          <w:tcPr>
            <w:tcW w:w="1359"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急性毒性-经口,类别3*</w:t>
            </w:r>
          </w:p>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急性毒性-经皮,类别3*</w:t>
            </w:r>
          </w:p>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急性毒性-吸入,类别3*</w:t>
            </w:r>
          </w:p>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危害水生环境-急性危害,类别2</w:t>
            </w:r>
          </w:p>
        </w:tc>
        <w:tc>
          <w:tcPr>
            <w:tcW w:w="635"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氟化氢钾</w:t>
            </w:r>
          </w:p>
        </w:tc>
        <w:tc>
          <w:tcPr>
            <w:tcW w:w="701"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7789-29-9</w:t>
            </w:r>
          </w:p>
        </w:tc>
        <w:tc>
          <w:tcPr>
            <w:tcW w:w="484"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丁</w:t>
            </w:r>
          </w:p>
        </w:tc>
        <w:tc>
          <w:tcPr>
            <w:tcW w:w="1359"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急性毒性-经口,类别3*</w:t>
            </w:r>
          </w:p>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皮肤腐蚀/刺激,类别1B</w:t>
            </w:r>
          </w:p>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严重眼损伤/眼刺激,类别1</w:t>
            </w:r>
          </w:p>
        </w:tc>
        <w:tc>
          <w:tcPr>
            <w:tcW w:w="635"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276" w:lineRule="exact"/>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氟硼酸</w:t>
            </w:r>
          </w:p>
        </w:tc>
        <w:tc>
          <w:tcPr>
            <w:tcW w:w="70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16872-11-0</w:t>
            </w:r>
          </w:p>
        </w:tc>
        <w:tc>
          <w:tcPr>
            <w:tcW w:w="484"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丁</w:t>
            </w:r>
          </w:p>
        </w:tc>
        <w:tc>
          <w:tcPr>
            <w:tcW w:w="1359"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皮肤腐蚀/刺激,类别1B</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严重眼损伤/眼刺激,类别1</w:t>
            </w:r>
          </w:p>
        </w:tc>
        <w:tc>
          <w:tcPr>
            <w:tcW w:w="635"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有水氢氟酸</w:t>
            </w:r>
          </w:p>
        </w:tc>
        <w:tc>
          <w:tcPr>
            <w:tcW w:w="70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7664-39-3</w:t>
            </w:r>
          </w:p>
        </w:tc>
        <w:tc>
          <w:tcPr>
            <w:tcW w:w="484"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戊</w:t>
            </w:r>
          </w:p>
        </w:tc>
        <w:tc>
          <w:tcPr>
            <w:tcW w:w="1359"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急性毒性-经口,类别2*</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急性毒性-经皮,类别1</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急性毒性-吸入,类别2*</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皮肤腐蚀/刺激,类别1A</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严重眼损伤/眼刺激,类别1</w:t>
            </w:r>
          </w:p>
        </w:tc>
        <w:tc>
          <w:tcPr>
            <w:tcW w:w="635"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氟硅酸钠</w:t>
            </w:r>
          </w:p>
        </w:tc>
        <w:tc>
          <w:tcPr>
            <w:tcW w:w="70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16893-85-9</w:t>
            </w:r>
          </w:p>
        </w:tc>
        <w:tc>
          <w:tcPr>
            <w:tcW w:w="484"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戊</w:t>
            </w:r>
          </w:p>
        </w:tc>
        <w:tc>
          <w:tcPr>
            <w:tcW w:w="1359"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急性毒性-经口,类别3*</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急性毒性-经皮,类别3*</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急性毒性-吸入,类别3*</w:t>
            </w:r>
          </w:p>
        </w:tc>
        <w:tc>
          <w:tcPr>
            <w:tcW w:w="635"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氟化钡</w:t>
            </w:r>
          </w:p>
        </w:tc>
        <w:tc>
          <w:tcPr>
            <w:tcW w:w="70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7787-32-8</w:t>
            </w:r>
          </w:p>
        </w:tc>
        <w:tc>
          <w:tcPr>
            <w:tcW w:w="484"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戊</w:t>
            </w:r>
          </w:p>
        </w:tc>
        <w:tc>
          <w:tcPr>
            <w:tcW w:w="1359"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急性毒性-经口,类别3</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严重眼损伤/眼刺激,类别2</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生殖毒性,类别2</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特异性靶器官毒性-一次接触,类别3（呼吸道刺激）</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特异性靶器官毒性-反复接触,类别1</w:t>
            </w:r>
          </w:p>
        </w:tc>
        <w:tc>
          <w:tcPr>
            <w:tcW w:w="635"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氟化钠</w:t>
            </w:r>
          </w:p>
        </w:tc>
        <w:tc>
          <w:tcPr>
            <w:tcW w:w="70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7681-49-4</w:t>
            </w:r>
          </w:p>
        </w:tc>
        <w:tc>
          <w:tcPr>
            <w:tcW w:w="484"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戊</w:t>
            </w:r>
          </w:p>
        </w:tc>
        <w:tc>
          <w:tcPr>
            <w:tcW w:w="1359"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急性毒性-经口,类别3*</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皮肤腐蚀/刺激,类别2</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严重眼损伤/眼刺激,类别2</w:t>
            </w:r>
          </w:p>
        </w:tc>
        <w:tc>
          <w:tcPr>
            <w:tcW w:w="635"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氟化氢钠</w:t>
            </w:r>
          </w:p>
        </w:tc>
        <w:tc>
          <w:tcPr>
            <w:tcW w:w="70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1333-83-1</w:t>
            </w:r>
          </w:p>
        </w:tc>
        <w:tc>
          <w:tcPr>
            <w:tcW w:w="484"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戊</w:t>
            </w:r>
          </w:p>
        </w:tc>
        <w:tc>
          <w:tcPr>
            <w:tcW w:w="1359"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急性毒性-经口,类别3*</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皮肤腐蚀/刺激,类别1B</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严重眼损伤/眼刺激,类别1</w:t>
            </w:r>
          </w:p>
        </w:tc>
        <w:tc>
          <w:tcPr>
            <w:tcW w:w="635"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氟化锌</w:t>
            </w:r>
          </w:p>
        </w:tc>
        <w:tc>
          <w:tcPr>
            <w:tcW w:w="70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7783-49-5</w:t>
            </w:r>
          </w:p>
        </w:tc>
        <w:tc>
          <w:tcPr>
            <w:tcW w:w="484"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戊</w:t>
            </w:r>
          </w:p>
        </w:tc>
        <w:tc>
          <w:tcPr>
            <w:tcW w:w="1359"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严重眼损伤/眼刺激,类别2B</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特异性靶器官毒性-一次接触,类别3（呼吸道刺激）</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特异性靶器官毒性-反复接触,类别1</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危害水生环境-急性危害,类别1</w:t>
            </w:r>
          </w:p>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危害水生环境-长期危害,类别1</w:t>
            </w:r>
          </w:p>
        </w:tc>
        <w:tc>
          <w:tcPr>
            <w:tcW w:w="635"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氟化锂</w:t>
            </w:r>
          </w:p>
        </w:tc>
        <w:tc>
          <w:tcPr>
            <w:tcW w:w="70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7789-24-4</w:t>
            </w:r>
          </w:p>
        </w:tc>
        <w:tc>
          <w:tcPr>
            <w:tcW w:w="484"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412"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无意义</w:t>
            </w:r>
          </w:p>
        </w:tc>
        <w:tc>
          <w:tcPr>
            <w:tcW w:w="540"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戊</w:t>
            </w:r>
          </w:p>
        </w:tc>
        <w:tc>
          <w:tcPr>
            <w:tcW w:w="1359"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急性毒性-经口,类别3</w:t>
            </w:r>
          </w:p>
        </w:tc>
        <w:tc>
          <w:tcPr>
            <w:tcW w:w="635"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textAlignment w:val="auto"/>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4" w:type="pct"/>
            <w:vAlign w:val="center"/>
          </w:tcPr>
          <w:p>
            <w:pPr>
              <w:keepNext w:val="0"/>
              <w:keepLines w:val="0"/>
              <w:pageBreakBefore w:val="0"/>
              <w:widowControl/>
              <w:numPr>
                <w:ilvl w:val="0"/>
                <w:numId w:val="18"/>
              </w:numPr>
              <w:kinsoku/>
              <w:wordWrap/>
              <w:overflowPunct/>
              <w:topLinePunct w:val="0"/>
              <w:autoSpaceDE/>
              <w:autoSpaceDN/>
              <w:bidi w:val="0"/>
              <w:snapToGrid/>
              <w:spacing w:line="280" w:lineRule="exact"/>
              <w:jc w:val="right"/>
              <w:textAlignment w:val="auto"/>
              <w:rPr>
                <w:rFonts w:hint="default" w:ascii="Times New Roman" w:hAnsi="Times New Roman" w:cs="Times New Roman"/>
                <w:kern w:val="0"/>
                <w:sz w:val="21"/>
                <w:szCs w:val="21"/>
              </w:rPr>
            </w:pPr>
          </w:p>
        </w:tc>
        <w:tc>
          <w:tcPr>
            <w:tcW w:w="59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柴油</w:t>
            </w:r>
          </w:p>
        </w:tc>
        <w:tc>
          <w:tcPr>
            <w:tcW w:w="701"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68334-30-5</w:t>
            </w:r>
          </w:p>
        </w:tc>
        <w:tc>
          <w:tcPr>
            <w:tcW w:w="484"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液</w:t>
            </w:r>
          </w:p>
        </w:tc>
        <w:tc>
          <w:tcPr>
            <w:tcW w:w="412"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乙类</w:t>
            </w:r>
          </w:p>
        </w:tc>
        <w:tc>
          <w:tcPr>
            <w:tcW w:w="540"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38</w:t>
            </w:r>
          </w:p>
        </w:tc>
        <w:tc>
          <w:tcPr>
            <w:tcW w:w="1359"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w:t>
            </w:r>
          </w:p>
        </w:tc>
        <w:tc>
          <w:tcPr>
            <w:tcW w:w="635" w:type="pct"/>
            <w:tcBorders>
              <w:left w:val="nil"/>
            </w:tcBorders>
            <w:vAlign w:val="center"/>
          </w:tcPr>
          <w:p>
            <w:pPr>
              <w:keepNext w:val="0"/>
              <w:keepLines w:val="0"/>
              <w:pageBreakBefore w:val="0"/>
              <w:widowControl/>
              <w:kinsoku/>
              <w:wordWrap/>
              <w:overflowPunct/>
              <w:topLinePunct w:val="0"/>
              <w:autoSpaceDE/>
              <w:autoSpaceDN/>
              <w:bidi w:val="0"/>
              <w:snapToGrid/>
              <w:spacing w:line="280" w:lineRule="exact"/>
              <w:jc w:val="center"/>
              <w:textAlignment w:val="auto"/>
              <w:rPr>
                <w:rFonts w:hint="default" w:ascii="Times New Roman" w:hAnsi="Times New Roman" w:eastAsia="宋体" w:cs="Times New Roman"/>
                <w:kern w:val="0"/>
                <w:sz w:val="21"/>
                <w:szCs w:val="21"/>
              </w:rPr>
            </w:pPr>
            <w:r>
              <w:rPr>
                <w:rFonts w:hint="default" w:ascii="Times New Roman" w:hAnsi="Times New Roman" w:cs="Times New Roman"/>
                <w:sz w:val="18"/>
                <w:szCs w:val="18"/>
              </w:rPr>
              <w:t>易燃液体,类别3</w:t>
            </w:r>
          </w:p>
        </w:tc>
      </w:tr>
    </w:tbl>
    <w:p>
      <w:pPr>
        <w:pStyle w:val="4"/>
        <w:rPr>
          <w:rFonts w:hint="default" w:ascii="Times New Roman" w:hAnsi="Times New Roman" w:cs="Times New Roman"/>
        </w:rPr>
        <w:sectPr>
          <w:headerReference r:id="rId9" w:type="default"/>
          <w:footerReference r:id="rId10" w:type="default"/>
          <w:pgSz w:w="16838" w:h="11906" w:orient="landscape"/>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94" w:charSpace="0"/>
        </w:sectPr>
      </w:pP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3、其他类危险化学品辨识</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1）根据《危险化学品目录》（2022调整版），该公司不涉及剧毒化学品。</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2）根据《监控化学品目录》（工业和信息化部令第52号）及《列入第三类监控化学品的新增品种清单》，该公司不涉及监控化学品。</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3）根据《易制毒化学品管理条例》（中华人民共和国国务院令第703号修订），该</w:t>
      </w:r>
      <w:r>
        <w:rPr>
          <w:rFonts w:hint="eastAsia" w:cs="Times New Roman"/>
          <w:lang w:val="en-US" w:eastAsia="zh-CN"/>
        </w:rPr>
        <w:t>企业</w:t>
      </w:r>
      <w:r>
        <w:rPr>
          <w:rFonts w:hint="default" w:ascii="Times New Roman" w:hAnsi="Times New Roman" w:cs="Times New Roman"/>
          <w:lang w:val="en-US" w:eastAsia="zh-CN"/>
        </w:rPr>
        <w:t>不涉及易制毒化学品。</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4）根据《高毒物品目录》（2003版），该公司涉及的有水氢氟酸、有水氟硅酸、氟硅酸钠、氟化钡、氟化钠、氟化氢钠、氟化锌、氟化锂、有水氟硼酸、氟硅酸钾、氟硅酸钡、氟硅酸镁、氟硅酸锌、氟化钾、氟化氢钾</w:t>
      </w:r>
      <w:r>
        <w:rPr>
          <w:rFonts w:hint="eastAsia" w:cs="Times New Roman"/>
          <w:lang w:val="en-US" w:eastAsia="zh-CN"/>
        </w:rPr>
        <w:t>等氟化物</w:t>
      </w:r>
      <w:r>
        <w:rPr>
          <w:rFonts w:hint="default" w:ascii="Times New Roman" w:hAnsi="Times New Roman" w:cs="Times New Roman"/>
          <w:lang w:val="en-US" w:eastAsia="zh-CN"/>
        </w:rPr>
        <w:t>属于高毒危险化学品。</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5）根据《易制爆危险化学品名录》（2017年），该公司不涉及易制爆化学品。</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6）根据《特别管控危险化学品目录（第一版）》，该公司不涉及特别管控危险化学品。</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7）根据国家安全监管总局《关于公布首批重点监管的危险化学品名录的通知》（安监总管三[2011]95号）及《关于公布第二批重点监管危险化学品名录的通知》(安监总管三[2013]12号)的规定，该公司涉及重点监管的危险化学品有水氢氟酸。</w:t>
      </w:r>
    </w:p>
    <w:p>
      <w:pPr>
        <w:pStyle w:val="4"/>
        <w:rPr>
          <w:rFonts w:hint="default" w:ascii="Times New Roman" w:hAnsi="Times New Roman" w:eastAsia="楷体" w:cs="Times New Roman"/>
          <w:lang w:val="en-US" w:eastAsia="zh-CN"/>
        </w:rPr>
      </w:pPr>
      <w:bookmarkStart w:id="63" w:name="_Toc16921"/>
      <w:r>
        <w:rPr>
          <w:rFonts w:hint="default" w:ascii="Times New Roman" w:hAnsi="Times New Roman" w:cs="Times New Roman"/>
          <w:lang w:val="en-US" w:eastAsia="zh-CN"/>
        </w:rPr>
        <w:t>5</w:t>
      </w:r>
      <w:r>
        <w:rPr>
          <w:rFonts w:hint="default" w:ascii="Times New Roman" w:hAnsi="Times New Roman" w:cs="Times New Roman"/>
        </w:rPr>
        <w:t>.2</w:t>
      </w:r>
      <w:r>
        <w:rPr>
          <w:rFonts w:hint="default" w:ascii="Times New Roman" w:hAnsi="Times New Roman" w:cs="Times New Roman"/>
          <w:lang w:val="en-US" w:eastAsia="zh-CN"/>
        </w:rPr>
        <w:t>危险源场所辨识</w:t>
      </w:r>
      <w:bookmarkEnd w:id="63"/>
    </w:p>
    <w:p>
      <w:pPr>
        <w:ind w:firstLine="560" w:firstLineChars="200"/>
        <w:rPr>
          <w:rFonts w:hint="default" w:ascii="Times New Roman" w:hAnsi="Times New Roman" w:cs="Times New Roman"/>
        </w:rPr>
      </w:pPr>
      <w:r>
        <w:rPr>
          <w:rFonts w:hint="default" w:ascii="Times New Roman" w:hAnsi="Times New Roman" w:cs="Times New Roman"/>
        </w:rPr>
        <w:t>1、危险化工工艺</w:t>
      </w:r>
    </w:p>
    <w:p>
      <w:pPr>
        <w:ind w:firstLine="560" w:firstLineChars="200"/>
        <w:rPr>
          <w:rFonts w:hint="default" w:ascii="Times New Roman" w:hAnsi="Times New Roman" w:cs="Times New Roman"/>
        </w:rPr>
      </w:pPr>
      <w:r>
        <w:rPr>
          <w:rFonts w:hint="default" w:ascii="Times New Roman" w:hAnsi="Times New Roman" w:cs="Times New Roman"/>
        </w:rPr>
        <w:t>依据《关于公布首批重点监管的危险化工工艺目录的通知》（安监总管三[2009]116号）及《关于公布第二批重点监管危险化工工艺目录和调整首批重点监管危险化工工艺中部分典型工艺的通知》（安监总管三[2013]3号）中规定，该</w:t>
      </w:r>
      <w:r>
        <w:rPr>
          <w:rFonts w:hint="default" w:ascii="Times New Roman" w:hAnsi="Times New Roman" w:cs="Times New Roman"/>
          <w:lang w:eastAsia="zh-CN"/>
        </w:rPr>
        <w:t>公司</w:t>
      </w:r>
      <w:r>
        <w:rPr>
          <w:rFonts w:hint="default" w:ascii="Times New Roman" w:hAnsi="Times New Roman" w:cs="Times New Roman"/>
          <w:lang w:val="en-US" w:eastAsia="zh-CN"/>
        </w:rPr>
        <w:t>氟化盐、氟硅酸盐系列、氟硼酸系、其他氟系产品</w:t>
      </w:r>
      <w:r>
        <w:rPr>
          <w:rFonts w:hint="default" w:ascii="Times New Roman" w:hAnsi="Times New Roman" w:cs="Times New Roman"/>
        </w:rPr>
        <w:t>可能涉及</w:t>
      </w:r>
      <w:r>
        <w:rPr>
          <w:rFonts w:hint="default" w:ascii="Times New Roman" w:hAnsi="Times New Roman" w:cs="Times New Roman"/>
          <w:lang w:val="en-US" w:eastAsia="zh-CN"/>
        </w:rPr>
        <w:t>氟</w:t>
      </w:r>
      <w:r>
        <w:rPr>
          <w:rFonts w:hint="default" w:ascii="Times New Roman" w:hAnsi="Times New Roman" w:cs="Times New Roman"/>
        </w:rPr>
        <w:t>化反应，列表对该工序生产工艺与典型的危险工艺进行对比辨识，详见如下：</w:t>
      </w:r>
    </w:p>
    <w:p>
      <w:pPr>
        <w:spacing w:line="360" w:lineRule="auto"/>
        <w:jc w:val="center"/>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表</w:t>
      </w:r>
      <w:r>
        <w:rPr>
          <w:rFonts w:hint="default" w:ascii="Times New Roman" w:hAnsi="Times New Roman" w:eastAsia="宋体" w:cs="Times New Roman"/>
          <w:sz w:val="28"/>
          <w:szCs w:val="28"/>
          <w:lang w:val="en-US" w:eastAsia="zh-CN"/>
        </w:rPr>
        <w:t>5.2</w:t>
      </w:r>
      <w:r>
        <w:rPr>
          <w:rFonts w:hint="default" w:ascii="Times New Roman" w:hAnsi="Times New Roman" w:eastAsia="宋体" w:cs="Times New Roman"/>
          <w:sz w:val="28"/>
          <w:szCs w:val="28"/>
          <w:lang w:eastAsia="zh-CN"/>
        </w:rPr>
        <w:t>危险化工工艺辨识一览表</w:t>
      </w:r>
    </w:p>
    <w:tbl>
      <w:tblPr>
        <w:tblStyle w:val="25"/>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0"/>
        <w:gridCol w:w="1124"/>
        <w:gridCol w:w="3111"/>
        <w:gridCol w:w="3683"/>
        <w:gridCol w:w="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5" w:type="pct"/>
            <w:tcBorders>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605" w:type="pct"/>
            <w:tcBorders>
              <w:left w:val="single" w:color="auto" w:sz="4" w:space="0"/>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116号文</w:t>
            </w:r>
          </w:p>
          <w:p>
            <w:pPr>
              <w:pStyle w:val="8"/>
              <w:numPr>
                <w:ilvl w:val="0"/>
                <w:numId w:val="0"/>
              </w:num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危险工艺</w:t>
            </w:r>
          </w:p>
        </w:tc>
        <w:tc>
          <w:tcPr>
            <w:tcW w:w="1675" w:type="pct"/>
            <w:tcBorders>
              <w:left w:val="single" w:color="auto" w:sz="4" w:space="0"/>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工艺危险特点</w:t>
            </w:r>
          </w:p>
        </w:tc>
        <w:tc>
          <w:tcPr>
            <w:tcW w:w="1983" w:type="pct"/>
            <w:tcBorders>
              <w:left w:val="single" w:color="auto" w:sz="4" w:space="0"/>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本项目工艺</w:t>
            </w:r>
          </w:p>
          <w:p>
            <w:pPr>
              <w:pStyle w:val="8"/>
              <w:numPr>
                <w:ilvl w:val="0"/>
                <w:numId w:val="0"/>
              </w:num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实际情况</w:t>
            </w:r>
          </w:p>
        </w:tc>
        <w:tc>
          <w:tcPr>
            <w:tcW w:w="460" w:type="pct"/>
            <w:tcBorders>
              <w:left w:val="single" w:color="auto" w:sz="4" w:space="0"/>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是否典</w:t>
            </w:r>
          </w:p>
          <w:p>
            <w:pPr>
              <w:pStyle w:val="8"/>
              <w:numPr>
                <w:ilvl w:val="0"/>
                <w:numId w:val="0"/>
              </w:num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型工艺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5" w:type="pct"/>
            <w:vMerge w:val="restart"/>
            <w:tcBorders>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605" w:type="pct"/>
            <w:vMerge w:val="restart"/>
            <w:tcBorders>
              <w:left w:val="single" w:color="auto" w:sz="4" w:space="0"/>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氟化</w:t>
            </w:r>
            <w:r>
              <w:rPr>
                <w:rFonts w:hint="default" w:ascii="Times New Roman" w:hAnsi="Times New Roman" w:cs="Times New Roman"/>
                <w:sz w:val="21"/>
                <w:szCs w:val="21"/>
              </w:rPr>
              <w:t>工艺</w:t>
            </w:r>
          </w:p>
        </w:tc>
        <w:tc>
          <w:tcPr>
            <w:tcW w:w="1675" w:type="pct"/>
            <w:tcBorders>
              <w:left w:val="single" w:color="auto" w:sz="4" w:space="0"/>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（1）反应物料具有燃爆危险性；</w:t>
            </w:r>
          </w:p>
        </w:tc>
        <w:tc>
          <w:tcPr>
            <w:tcW w:w="1983" w:type="pct"/>
            <w:vMerge w:val="restart"/>
            <w:tcBorders>
              <w:left w:val="single" w:color="auto" w:sz="4" w:space="0"/>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该公司氟化盐、氟硅酸盐系列、氟硼酸系、其他氟系产品</w:t>
            </w:r>
            <w:r>
              <w:rPr>
                <w:rFonts w:hint="default" w:ascii="Times New Roman" w:hAnsi="Times New Roman" w:cs="Times New Roman"/>
                <w:sz w:val="21"/>
                <w:szCs w:val="21"/>
              </w:rPr>
              <w:t>的反应：压力为常压，温度</w:t>
            </w:r>
            <w:r>
              <w:rPr>
                <w:rFonts w:hint="default" w:ascii="Times New Roman" w:hAnsi="Times New Roman" w:cs="Times New Roman"/>
                <w:sz w:val="21"/>
                <w:szCs w:val="21"/>
                <w:lang w:val="en-US" w:eastAsia="zh-CN"/>
              </w:rPr>
              <w:t>常温</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60</w:t>
            </w:r>
            <w:r>
              <w:rPr>
                <w:rFonts w:hint="default" w:ascii="Times New Roman" w:hAnsi="Times New Roman" w:cs="Times New Roman"/>
                <w:sz w:val="21"/>
                <w:szCs w:val="21"/>
              </w:rPr>
              <w:t>℃，反应在水相中进行；涉及的物料为</w:t>
            </w:r>
            <w:r>
              <w:rPr>
                <w:rFonts w:hint="default" w:ascii="Times New Roman" w:hAnsi="Times New Roman" w:cs="Times New Roman"/>
                <w:sz w:val="21"/>
                <w:szCs w:val="21"/>
                <w:lang w:val="en-US" w:eastAsia="zh-CN"/>
              </w:rPr>
              <w:t>有水氢氟酸和无机盐</w:t>
            </w:r>
            <w:r>
              <w:rPr>
                <w:rFonts w:hint="default" w:ascii="Times New Roman" w:hAnsi="Times New Roman" w:cs="Times New Roman"/>
                <w:sz w:val="21"/>
                <w:szCs w:val="21"/>
              </w:rPr>
              <w:t>；反应原料和产品均不具有燃爆特性，反应过程中亦无易爆气体产生，反应缓和</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不涉及剧毒化学品</w:t>
            </w:r>
            <w:r>
              <w:rPr>
                <w:rFonts w:hint="default" w:ascii="Times New Roman" w:hAnsi="Times New Roman" w:cs="Times New Roman"/>
                <w:sz w:val="21"/>
                <w:szCs w:val="21"/>
              </w:rPr>
              <w:t>。</w:t>
            </w:r>
          </w:p>
        </w:tc>
        <w:tc>
          <w:tcPr>
            <w:tcW w:w="460" w:type="pct"/>
            <w:vMerge w:val="restart"/>
            <w:tcBorders>
              <w:left w:val="single" w:color="auto" w:sz="4" w:space="0"/>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5" w:type="pct"/>
            <w:vMerge w:val="continue"/>
            <w:tcBorders>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p>
        </w:tc>
        <w:tc>
          <w:tcPr>
            <w:tcW w:w="605" w:type="pct"/>
            <w:vMerge w:val="continue"/>
            <w:tcBorders>
              <w:left w:val="single" w:color="auto" w:sz="4" w:space="0"/>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p>
        </w:tc>
        <w:tc>
          <w:tcPr>
            <w:tcW w:w="1675" w:type="pct"/>
            <w:tcBorders>
              <w:left w:val="single" w:color="auto" w:sz="4" w:space="0"/>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（2）氟化反应为强放热反应，不及时排除反应热量，易导致超温超压，引发设备爆炸事故；</w:t>
            </w:r>
          </w:p>
        </w:tc>
        <w:tc>
          <w:tcPr>
            <w:tcW w:w="1983" w:type="pct"/>
            <w:vMerge w:val="continue"/>
            <w:tcBorders>
              <w:left w:val="single" w:color="auto" w:sz="4" w:space="0"/>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p>
        </w:tc>
        <w:tc>
          <w:tcPr>
            <w:tcW w:w="460" w:type="pct"/>
            <w:vMerge w:val="continue"/>
            <w:tcBorders>
              <w:left w:val="single" w:color="auto" w:sz="4" w:space="0"/>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5" w:type="pct"/>
            <w:vMerge w:val="continue"/>
            <w:tcBorders>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p>
        </w:tc>
        <w:tc>
          <w:tcPr>
            <w:tcW w:w="605" w:type="pct"/>
            <w:vMerge w:val="continue"/>
            <w:tcBorders>
              <w:left w:val="single" w:color="auto" w:sz="4" w:space="0"/>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p>
        </w:tc>
        <w:tc>
          <w:tcPr>
            <w:tcW w:w="1675" w:type="pct"/>
            <w:tcBorders>
              <w:left w:val="single" w:color="auto" w:sz="4" w:space="0"/>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（3）多数氟化剂具有强腐蚀性、剧毒，在生产、贮存、运输、使用等过程中，容易因泄漏、操作不当、误接触以及其他意外而造成危险。</w:t>
            </w:r>
          </w:p>
        </w:tc>
        <w:tc>
          <w:tcPr>
            <w:tcW w:w="1983" w:type="pct"/>
            <w:vMerge w:val="continue"/>
            <w:tcBorders>
              <w:left w:val="single" w:color="auto" w:sz="4" w:space="0"/>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p>
        </w:tc>
        <w:tc>
          <w:tcPr>
            <w:tcW w:w="460" w:type="pct"/>
            <w:vMerge w:val="continue"/>
            <w:tcBorders>
              <w:left w:val="single" w:color="auto" w:sz="4" w:space="0"/>
              <w:right w:val="single" w:color="auto" w:sz="4" w:space="0"/>
            </w:tcBorders>
            <w:noWrap w:val="0"/>
            <w:vAlign w:val="center"/>
          </w:tcPr>
          <w:p>
            <w:pPr>
              <w:pStyle w:val="8"/>
              <w:numPr>
                <w:ilvl w:val="0"/>
                <w:numId w:val="0"/>
              </w:numPr>
              <w:spacing w:line="240" w:lineRule="auto"/>
              <w:rPr>
                <w:rFonts w:hint="default" w:ascii="Times New Roman" w:hAnsi="Times New Roman" w:cs="Times New Roman"/>
                <w:sz w:val="21"/>
                <w:szCs w:val="21"/>
              </w:rPr>
            </w:pPr>
          </w:p>
        </w:tc>
      </w:tr>
    </w:tbl>
    <w:p>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由上表对比分析得知，</w:t>
      </w:r>
      <w:r>
        <w:rPr>
          <w:rFonts w:hint="default" w:ascii="Times New Roman" w:hAnsi="Times New Roman" w:eastAsia="宋体" w:cs="Times New Roman"/>
          <w:sz w:val="28"/>
          <w:szCs w:val="28"/>
          <w:lang w:val="en-US" w:eastAsia="zh-CN"/>
        </w:rPr>
        <w:t>该公司</w:t>
      </w:r>
      <w:r>
        <w:rPr>
          <w:rFonts w:hint="default" w:ascii="Times New Roman" w:hAnsi="Times New Roman" w:cs="Times New Roman"/>
          <w:sz w:val="28"/>
          <w:szCs w:val="28"/>
          <w:lang w:val="en-US" w:eastAsia="zh-CN"/>
        </w:rPr>
        <w:t>在役生产装置涉及的氟化</w:t>
      </w:r>
      <w:r>
        <w:rPr>
          <w:rFonts w:hint="default" w:ascii="Times New Roman" w:hAnsi="Times New Roman" w:eastAsia="宋体" w:cs="Times New Roman"/>
          <w:sz w:val="28"/>
          <w:szCs w:val="28"/>
        </w:rPr>
        <w:t>反应并不是典型的</w:t>
      </w:r>
      <w:r>
        <w:rPr>
          <w:rFonts w:hint="default" w:ascii="Times New Roman" w:hAnsi="Times New Roman" w:cs="Times New Roman"/>
          <w:sz w:val="28"/>
          <w:szCs w:val="28"/>
          <w:lang w:val="en-US" w:eastAsia="zh-CN"/>
        </w:rPr>
        <w:t>氟化</w:t>
      </w:r>
      <w:r>
        <w:rPr>
          <w:rFonts w:hint="default" w:ascii="Times New Roman" w:hAnsi="Times New Roman" w:eastAsia="宋体" w:cs="Times New Roman"/>
          <w:sz w:val="28"/>
          <w:szCs w:val="28"/>
        </w:rPr>
        <w:t>工艺，因此该</w:t>
      </w:r>
      <w:r>
        <w:rPr>
          <w:rFonts w:hint="default" w:ascii="Times New Roman" w:hAnsi="Times New Roman" w:eastAsia="宋体" w:cs="Times New Roman"/>
          <w:sz w:val="28"/>
          <w:szCs w:val="28"/>
          <w:lang w:val="en-US" w:eastAsia="zh-CN"/>
        </w:rPr>
        <w:t>公司在役生产装置</w:t>
      </w:r>
      <w:r>
        <w:rPr>
          <w:rFonts w:hint="default" w:ascii="Times New Roman" w:hAnsi="Times New Roman" w:eastAsia="宋体" w:cs="Times New Roman"/>
          <w:sz w:val="28"/>
          <w:szCs w:val="28"/>
        </w:rPr>
        <w:t>未涉及危险化工工艺。</w:t>
      </w:r>
    </w:p>
    <w:p>
      <w:pPr>
        <w:ind w:firstLine="560" w:firstLineChars="200"/>
        <w:rPr>
          <w:rFonts w:hint="default" w:ascii="Times New Roman" w:hAnsi="Times New Roman" w:cs="Times New Roman"/>
        </w:rPr>
      </w:pPr>
      <w:r>
        <w:rPr>
          <w:rFonts w:hint="default" w:ascii="Times New Roman" w:hAnsi="Times New Roman" w:cs="Times New Roman"/>
        </w:rPr>
        <w:t>2、危险化学品重大危险源</w:t>
      </w:r>
    </w:p>
    <w:p>
      <w:pPr>
        <w:ind w:firstLine="560" w:firstLineChars="200"/>
        <w:rPr>
          <w:rFonts w:hint="default" w:ascii="Times New Roman" w:hAnsi="Times New Roman" w:cs="Times New Roman"/>
        </w:rPr>
      </w:pPr>
      <w:r>
        <w:rPr>
          <w:rFonts w:hint="default" w:ascii="Times New Roman" w:hAnsi="Times New Roman" w:cs="Times New Roman"/>
        </w:rPr>
        <w:t>根据《危险化学品重大危险源辨识》的定义和附件B.5节重大危险源辨识过程得出以下结论：根据《危险化学品重大危险源辨识》（GB18218-2018）的定义和《危险化学品重大危险源监督管理暂行规定》(2011)(40号令)得出结论如下：</w:t>
      </w:r>
      <w:r>
        <w:rPr>
          <w:rFonts w:hint="default" w:ascii="Times New Roman" w:hAnsi="Times New Roman" w:cs="Times New Roman"/>
          <w:lang w:val="zh-CN"/>
        </w:rPr>
        <w:t>上饶市广氟医药化工有限公司在役</w:t>
      </w:r>
      <w:r>
        <w:rPr>
          <w:rFonts w:hint="default" w:ascii="Times New Roman" w:hAnsi="Times New Roman" w:cs="Times New Roman"/>
        </w:rPr>
        <w:t>生产装置各生产、储存单元的危险化学品均不构成重大危险源。</w:t>
      </w:r>
    </w:p>
    <w:p>
      <w:pPr>
        <w:ind w:firstLine="560" w:firstLineChars="200"/>
        <w:rPr>
          <w:rFonts w:hint="default" w:ascii="Times New Roman" w:hAnsi="Times New Roman" w:cs="Times New Roman"/>
        </w:rPr>
      </w:pPr>
      <w:r>
        <w:rPr>
          <w:rFonts w:hint="default" w:ascii="Times New Roman" w:hAnsi="Times New Roman" w:cs="Times New Roman"/>
        </w:rPr>
        <w:t>3、外部安全防护距离计算</w:t>
      </w:r>
    </w:p>
    <w:p>
      <w:pPr>
        <w:ind w:firstLine="560" w:firstLineChars="200"/>
        <w:rPr>
          <w:rFonts w:hint="default" w:ascii="Times New Roman" w:hAnsi="Times New Roman" w:cs="Times New Roman"/>
        </w:rPr>
      </w:pPr>
      <w:r>
        <w:rPr>
          <w:rFonts w:hint="default" w:ascii="Times New Roman" w:hAnsi="Times New Roman" w:cs="Times New Roman"/>
        </w:rPr>
        <w:t>1）根据《危险化学品生产装置及储存设施外部安全防护距离确定方法》（GB/T37243-2019）、《危险化学品生产装置和储存设施风险基准》（GB 36894-2018）等规范要求，对危险化学品生产、储存装置进行个人可接受风险和社会可接受风险分析，用于确定陆上危险化学品企业新建、改建、扩建和在役生产、储存装置的外部安全防护距离。</w:t>
      </w:r>
    </w:p>
    <w:p>
      <w:pPr>
        <w:ind w:firstLine="560" w:firstLineChars="200"/>
        <w:rPr>
          <w:rFonts w:hint="default" w:ascii="Times New Roman" w:hAnsi="Times New Roman" w:cs="Times New Roman"/>
          <w:lang w:val="en-US" w:eastAsia="zh-CN"/>
        </w:rPr>
      </w:pPr>
      <w:r>
        <w:rPr>
          <w:rFonts w:hint="default" w:ascii="Times New Roman" w:hAnsi="Times New Roman" w:cs="Times New Roman"/>
        </w:rPr>
        <w:t>2）该公司涉及重点监管危险化学品，</w:t>
      </w:r>
      <w:r>
        <w:rPr>
          <w:rFonts w:hint="default" w:ascii="Times New Roman" w:hAnsi="Times New Roman" w:cs="Times New Roman"/>
          <w:lang w:val="en-US" w:eastAsia="zh-CN"/>
        </w:rPr>
        <w:t>但该</w:t>
      </w:r>
      <w:r>
        <w:rPr>
          <w:rFonts w:hint="eastAsia" w:cs="Times New Roman"/>
          <w:lang w:val="en-US" w:eastAsia="zh-CN"/>
        </w:rPr>
        <w:t>企业</w:t>
      </w:r>
      <w:r>
        <w:rPr>
          <w:rFonts w:hint="default" w:ascii="Times New Roman" w:hAnsi="Times New Roman" w:cs="Times New Roman"/>
          <w:lang w:val="en-US" w:eastAsia="zh-CN"/>
        </w:rPr>
        <w:t>不涉及有毒气体和易燃气体，不构成重大危险源。因此根据《危险化学品生产装置和储存设施外部安全防护距离确定方法》GB/T37243-2019第4.4条，及4.3条以外的危险化学品生产装置及储存设施的外部安全防护距离应满足相关标准规范的距离要求。</w:t>
      </w:r>
    </w:p>
    <w:p>
      <w:pPr>
        <w:ind w:firstLine="560" w:firstLineChars="200"/>
        <w:rPr>
          <w:rFonts w:hint="default" w:ascii="Times New Roman" w:hAnsi="Times New Roman" w:cs="Times New Roman"/>
        </w:rPr>
      </w:pPr>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rPr>
        <w:t>危险化学品生产装置及储存设施的外部安全防护距离满足相关标准规范的距离要求。根据《建筑设计防火规范》GB50016-2014（2018版）等相关标准规范的距离要求，生产车间（丁类，二级耐火）及丁戊类仓库与民用建筑（裙房、单层、多层，二级耐火）间距10m；生产车间（丁类，二级耐火）及丁戊类仓库与民用建筑（一类）间距15m；生产车间（丁类，二级耐火）及丁戊类仓库与民用建筑（二类）间距13m。结合该公司总平面和周边情况可以看出，该</w:t>
      </w:r>
      <w:r>
        <w:rPr>
          <w:rFonts w:hint="eastAsia" w:cs="Times New Roman"/>
          <w:lang w:val="en-US" w:eastAsia="zh-CN"/>
        </w:rPr>
        <w:t>企业</w:t>
      </w:r>
      <w:r>
        <w:rPr>
          <w:rFonts w:hint="default" w:ascii="Times New Roman" w:hAnsi="Times New Roman" w:cs="Times New Roman"/>
        </w:rPr>
        <w:t>外部安全防护距离无高敏感防护目标、重要防护目标及一般防护目标，能够满足要求。</w:t>
      </w:r>
    </w:p>
    <w:p>
      <w:pPr>
        <w:ind w:firstLine="560" w:firstLineChars="200"/>
        <w:rPr>
          <w:rFonts w:hint="default" w:ascii="Times New Roman" w:hAnsi="Times New Roman" w:cs="Times New Roman"/>
        </w:rPr>
      </w:pPr>
      <w:r>
        <w:rPr>
          <w:rFonts w:hint="default" w:ascii="Times New Roman" w:hAnsi="Times New Roman" w:cs="Times New Roman"/>
        </w:rPr>
        <w:t>4、企业安全风险分级辨识</w:t>
      </w:r>
    </w:p>
    <w:p>
      <w:pPr>
        <w:ind w:firstLine="560" w:firstLineChars="200"/>
        <w:rPr>
          <w:rFonts w:hint="default" w:ascii="Times New Roman" w:hAnsi="Times New Roman" w:cs="Times New Roman"/>
        </w:rPr>
      </w:pPr>
      <w:r>
        <w:rPr>
          <w:rFonts w:hint="default" w:ascii="Times New Roman" w:hAnsi="Times New Roman" w:cs="Times New Roman"/>
        </w:rPr>
        <w:t>根据企业提供的资料，针对企业厂区内现有装置开展了危险有害因素辨识，并结合各类风险源特点，选择定量风险评价法、事故后果计算法等风险量化方法，将各类风险源中风险结果进行风险分级。</w:t>
      </w:r>
    </w:p>
    <w:p>
      <w:pPr>
        <w:ind w:firstLine="560" w:firstLineChars="200"/>
        <w:rPr>
          <w:rFonts w:hint="default" w:ascii="Times New Roman" w:hAnsi="Times New Roman" w:cs="Times New Roman"/>
        </w:rPr>
      </w:pPr>
      <w:r>
        <w:rPr>
          <w:rFonts w:hint="default" w:ascii="Times New Roman" w:hAnsi="Times New Roman" w:cs="Times New Roman"/>
        </w:rPr>
        <w:t>经企业风险分级辨识，该公司风险级别为III级，属于一般风险（黄色风险），企业厂区在役装置需要控制并整改。</w:t>
      </w:r>
    </w:p>
    <w:p>
      <w:pPr>
        <w:pStyle w:val="4"/>
        <w:rPr>
          <w:rFonts w:hint="default" w:ascii="Times New Roman" w:hAnsi="Times New Roman" w:cs="Times New Roman"/>
          <w:lang w:val="en-US" w:eastAsia="zh-CN"/>
        </w:rPr>
      </w:pPr>
      <w:bookmarkStart w:id="64" w:name="_Toc10948"/>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lang w:val="en-US" w:eastAsia="zh-CN"/>
        </w:rPr>
        <w:t>3危险、有害因素分布</w:t>
      </w:r>
      <w:bookmarkEnd w:id="64"/>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通过分析，可以明确上饶市广氟医药化工有限公司在役生产装置的危险、有害因素有</w:t>
      </w:r>
      <w:r>
        <w:rPr>
          <w:rFonts w:hint="default" w:ascii="Times New Roman" w:hAnsi="Times New Roman" w:cs="Times New Roman"/>
        </w:rPr>
        <w:t>中毒和窒息</w:t>
      </w:r>
      <w:r>
        <w:rPr>
          <w:rFonts w:hint="default" w:ascii="Times New Roman" w:hAnsi="Times New Roman" w:cs="Times New Roman"/>
          <w:lang w:eastAsia="zh-CN"/>
        </w:rPr>
        <w:t>、</w:t>
      </w:r>
      <w:r>
        <w:rPr>
          <w:rFonts w:hint="default" w:ascii="Times New Roman" w:hAnsi="Times New Roman" w:cs="Times New Roman"/>
          <w:lang w:val="en-US" w:eastAsia="zh-CN"/>
        </w:rPr>
        <w:t>灼烫</w:t>
      </w:r>
      <w:r>
        <w:rPr>
          <w:rFonts w:hint="default" w:ascii="Times New Roman" w:hAnsi="Times New Roman" w:cs="Times New Roman"/>
        </w:rPr>
        <w:t>等，此外还存在</w:t>
      </w:r>
      <w:r>
        <w:rPr>
          <w:rFonts w:hint="default" w:ascii="Times New Roman" w:hAnsi="Times New Roman" w:cs="Times New Roman"/>
          <w:lang w:val="en-US" w:eastAsia="zh-CN"/>
        </w:rPr>
        <w:t>火灾、爆炸、</w:t>
      </w:r>
      <w:r>
        <w:rPr>
          <w:rFonts w:hint="default" w:ascii="Times New Roman" w:hAnsi="Times New Roman" w:cs="Times New Roman"/>
        </w:rPr>
        <w:t>容器爆炸、触电、高处坠落、机械伤害、物体打击、起重伤害、车辆伤害、淹溺及粉尘、噪声、高温热辐射等危险、有害因素。</w:t>
      </w:r>
    </w:p>
    <w:p>
      <w:pPr>
        <w:ind w:firstLine="560" w:firstLineChars="200"/>
        <w:rPr>
          <w:rFonts w:hint="default" w:ascii="Times New Roman" w:hAnsi="Times New Roman" w:cs="Times New Roman"/>
          <w:color w:val="auto"/>
        </w:rPr>
      </w:pPr>
      <w:r>
        <w:rPr>
          <w:rFonts w:hint="default" w:ascii="Times New Roman" w:hAnsi="Times New Roman" w:cs="Times New Roman"/>
          <w:color w:val="auto"/>
        </w:rPr>
        <w:t>该项目可能造成爆炸、火灾、中毒和窒息、灼烫事故的危险、有害因素的分布见表。</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w:t>
      </w:r>
      <w:r>
        <w:rPr>
          <w:rFonts w:hint="default" w:ascii="Times New Roman" w:hAnsi="Times New Roman" w:cs="Times New Roman"/>
          <w:color w:val="auto"/>
          <w:sz w:val="24"/>
          <w:szCs w:val="24"/>
          <w:lang w:val="en-US" w:eastAsia="zh-CN"/>
        </w:rPr>
        <w:t>5.3</w:t>
      </w:r>
      <w:r>
        <w:rPr>
          <w:rFonts w:hint="default" w:ascii="Times New Roman" w:hAnsi="Times New Roman" w:cs="Times New Roman"/>
          <w:color w:val="auto"/>
          <w:sz w:val="24"/>
          <w:szCs w:val="24"/>
        </w:rPr>
        <w:t>-1可能造成爆炸、火灾、中毒、灼烫事故的危险、有害因素的分布一览表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542"/>
        <w:gridCol w:w="7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4"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830"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危险有害因素</w:t>
            </w:r>
          </w:p>
        </w:tc>
        <w:tc>
          <w:tcPr>
            <w:tcW w:w="3906"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存在工段（序）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1</w:t>
            </w:r>
          </w:p>
        </w:tc>
        <w:tc>
          <w:tcPr>
            <w:tcW w:w="830"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中毒和窒息</w:t>
            </w:r>
          </w:p>
        </w:tc>
        <w:tc>
          <w:tcPr>
            <w:tcW w:w="3906" w:type="pct"/>
            <w:vAlign w:val="center"/>
          </w:tcPr>
          <w:p>
            <w:pPr>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101生产车间一</w:t>
            </w:r>
            <w:r>
              <w:rPr>
                <w:rFonts w:hint="default" w:ascii="Times New Roman" w:hAnsi="Times New Roman" w:cs="Times New Roman"/>
                <w:sz w:val="21"/>
                <w:szCs w:val="21"/>
                <w:lang w:eastAsia="zh-CN"/>
              </w:rPr>
              <w:t>、</w:t>
            </w:r>
            <w:r>
              <w:rPr>
                <w:rFonts w:hint="default" w:ascii="Times New Roman" w:hAnsi="Times New Roman" w:cs="Times New Roman"/>
                <w:sz w:val="21"/>
                <w:szCs w:val="21"/>
              </w:rPr>
              <w:t>102生产车间二</w:t>
            </w:r>
            <w:r>
              <w:rPr>
                <w:rFonts w:hint="default" w:ascii="Times New Roman" w:hAnsi="Times New Roman" w:cs="Times New Roman"/>
                <w:sz w:val="21"/>
                <w:szCs w:val="21"/>
                <w:lang w:eastAsia="zh-CN"/>
              </w:rPr>
              <w:t>、</w:t>
            </w:r>
            <w:r>
              <w:rPr>
                <w:rFonts w:hint="default" w:ascii="Times New Roman" w:hAnsi="Times New Roman" w:cs="Times New Roman"/>
                <w:sz w:val="21"/>
                <w:szCs w:val="21"/>
              </w:rPr>
              <w:t>103生产车间三</w:t>
            </w:r>
            <w:r>
              <w:rPr>
                <w:rFonts w:hint="default" w:ascii="Times New Roman" w:hAnsi="Times New Roman" w:cs="Times New Roman"/>
                <w:sz w:val="21"/>
                <w:szCs w:val="21"/>
                <w:lang w:eastAsia="zh-CN"/>
              </w:rPr>
              <w:t>、</w:t>
            </w:r>
            <w:r>
              <w:rPr>
                <w:rFonts w:hint="default" w:ascii="Times New Roman" w:hAnsi="Times New Roman" w:cs="Times New Roman"/>
                <w:sz w:val="21"/>
                <w:szCs w:val="21"/>
              </w:rPr>
              <w:t>104生产车间四</w:t>
            </w:r>
            <w:r>
              <w:rPr>
                <w:rFonts w:hint="default" w:ascii="Times New Roman" w:hAnsi="Times New Roman" w:cs="Times New Roman"/>
                <w:sz w:val="21"/>
                <w:szCs w:val="21"/>
                <w:lang w:eastAsia="zh-CN"/>
              </w:rPr>
              <w:t>、</w:t>
            </w:r>
            <w:r>
              <w:rPr>
                <w:rFonts w:hint="default" w:ascii="Times New Roman" w:hAnsi="Times New Roman" w:cs="Times New Roman"/>
                <w:sz w:val="21"/>
                <w:szCs w:val="21"/>
              </w:rPr>
              <w:t>105烘干车间</w:t>
            </w:r>
            <w:r>
              <w:rPr>
                <w:rFonts w:hint="default" w:ascii="Times New Roman" w:hAnsi="Times New Roman" w:cs="Times New Roman"/>
                <w:sz w:val="21"/>
                <w:szCs w:val="21"/>
                <w:lang w:val="en-US" w:eastAsia="zh-CN"/>
              </w:rPr>
              <w:t>等生产</w:t>
            </w:r>
            <w:r>
              <w:rPr>
                <w:rFonts w:hint="default" w:ascii="Times New Roman" w:hAnsi="Times New Roman" w:cs="Times New Roman"/>
                <w:sz w:val="21"/>
                <w:szCs w:val="21"/>
              </w:rPr>
              <w:t>场所；</w:t>
            </w:r>
            <w:r>
              <w:rPr>
                <w:rFonts w:hint="default" w:ascii="Times New Roman" w:hAnsi="Times New Roman" w:cs="Times New Roman"/>
                <w:sz w:val="21"/>
                <w:szCs w:val="21"/>
                <w:lang w:val="en-US" w:eastAsia="zh-CN"/>
              </w:rPr>
              <w:t>201原料罐区、202成品罐区、203烘干包装库、204成品仓库、205原料仓库、206成品仓库、207原料仓库、308半成品仓库</w:t>
            </w:r>
            <w:r>
              <w:rPr>
                <w:rFonts w:hint="default" w:ascii="Times New Roman" w:hAnsi="Times New Roman" w:cs="Times New Roman"/>
                <w:sz w:val="21"/>
                <w:szCs w:val="21"/>
              </w:rPr>
              <w:t>等</w:t>
            </w:r>
            <w:r>
              <w:rPr>
                <w:rFonts w:hint="default" w:ascii="Times New Roman" w:hAnsi="Times New Roman" w:cs="Times New Roman"/>
                <w:sz w:val="21"/>
                <w:szCs w:val="21"/>
                <w:lang w:val="en-US" w:eastAsia="zh-CN"/>
              </w:rPr>
              <w:t>储存</w:t>
            </w:r>
            <w:r>
              <w:rPr>
                <w:rFonts w:hint="default" w:ascii="Times New Roman" w:hAnsi="Times New Roman" w:cs="Times New Roman"/>
                <w:sz w:val="21"/>
                <w:szCs w:val="21"/>
              </w:rPr>
              <w:t>场所</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306污水处理池、311污水处理装置区等场所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2</w:t>
            </w:r>
          </w:p>
        </w:tc>
        <w:tc>
          <w:tcPr>
            <w:tcW w:w="830" w:type="pct"/>
            <w:vAlign w:val="center"/>
          </w:tcPr>
          <w:p>
            <w:pPr>
              <w:spacing w:line="240" w:lineRule="auto"/>
              <w:jc w:val="left"/>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灼烫</w:t>
            </w:r>
          </w:p>
        </w:tc>
        <w:tc>
          <w:tcPr>
            <w:tcW w:w="3906"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101生产车间一、102生产车间二、103生产车间三、104生产车间四、105烘干车间等生产场所；201原料罐区、202成品罐区、</w:t>
            </w:r>
            <w:r>
              <w:rPr>
                <w:rFonts w:hint="default" w:ascii="Times New Roman" w:hAnsi="Times New Roman" w:cs="Times New Roman"/>
                <w:sz w:val="21"/>
                <w:szCs w:val="21"/>
                <w:lang w:eastAsia="zh-CN"/>
              </w:rPr>
              <w:t>308半成品仓库</w:t>
            </w:r>
            <w:r>
              <w:rPr>
                <w:rFonts w:hint="default" w:ascii="Times New Roman" w:hAnsi="Times New Roman" w:cs="Times New Roman"/>
                <w:sz w:val="21"/>
                <w:szCs w:val="21"/>
              </w:rPr>
              <w:t>等储存场所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4</w:t>
            </w:r>
          </w:p>
        </w:tc>
        <w:tc>
          <w:tcPr>
            <w:tcW w:w="830" w:type="pct"/>
            <w:vAlign w:val="center"/>
          </w:tcPr>
          <w:p>
            <w:pPr>
              <w:spacing w:line="240" w:lineRule="auto"/>
              <w:jc w:val="left"/>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火灾</w:t>
            </w:r>
          </w:p>
        </w:tc>
        <w:tc>
          <w:tcPr>
            <w:tcW w:w="3906" w:type="pct"/>
            <w:vAlign w:val="center"/>
          </w:tcPr>
          <w:p>
            <w:pPr>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101生产车间一、102生产车间二、103生产车间三、104生产车间四、105烘干车间等生产场所；203烘干包装库、204成品仓库、205原料仓库、206成品仓库、207原料仓库</w:t>
            </w:r>
            <w:r>
              <w:rPr>
                <w:rFonts w:hint="default" w:ascii="Times New Roman" w:hAnsi="Times New Roman" w:cs="Times New Roman"/>
                <w:sz w:val="21"/>
                <w:szCs w:val="21"/>
                <w:lang w:eastAsia="zh-CN"/>
              </w:rPr>
              <w:t>、308半成品仓库</w:t>
            </w:r>
            <w:r>
              <w:rPr>
                <w:rFonts w:hint="default" w:ascii="Times New Roman" w:hAnsi="Times New Roman" w:cs="Times New Roman"/>
                <w:sz w:val="21"/>
                <w:szCs w:val="21"/>
              </w:rPr>
              <w:t>等储存场所</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301变配电间、305循环水泵房、307机修车间、401综合办公楼、402生产研发楼、405分析室等公用工程区</w:t>
            </w:r>
          </w:p>
        </w:tc>
      </w:tr>
    </w:tbl>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表</w:t>
      </w:r>
      <w:r>
        <w:rPr>
          <w:rFonts w:hint="default" w:ascii="Times New Roman" w:hAnsi="Times New Roman" w:cs="Times New Roman"/>
          <w:color w:val="auto"/>
          <w:sz w:val="24"/>
          <w:szCs w:val="24"/>
          <w:lang w:val="en-US" w:eastAsia="zh-CN"/>
        </w:rPr>
        <w:t>5.3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其他事故的危险、有害因素的分布一览表</w:t>
      </w:r>
    </w:p>
    <w:tbl>
      <w:tblPr>
        <w:tblStyle w:val="25"/>
        <w:tblW w:w="48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1742"/>
        <w:gridCol w:w="6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39"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971"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危险有害因素</w:t>
            </w:r>
          </w:p>
        </w:tc>
        <w:tc>
          <w:tcPr>
            <w:tcW w:w="378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存在工段（序）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19"/>
              </w:numPr>
              <w:spacing w:line="240" w:lineRule="auto"/>
              <w:ind w:left="0" w:firstLine="0"/>
              <w:jc w:val="left"/>
              <w:rPr>
                <w:rFonts w:hint="default" w:ascii="Times New Roman" w:hAnsi="Times New Roman" w:cs="Times New Roman"/>
                <w:sz w:val="21"/>
                <w:szCs w:val="21"/>
              </w:rPr>
            </w:pPr>
          </w:p>
        </w:tc>
        <w:tc>
          <w:tcPr>
            <w:tcW w:w="971"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触电</w:t>
            </w:r>
          </w:p>
        </w:tc>
        <w:tc>
          <w:tcPr>
            <w:tcW w:w="3788"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作业现场的电机、变配电设备、照明灯具、电缆及变电所、配电所、机柜间等有电气设备设施的场所。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19"/>
              </w:numPr>
              <w:spacing w:line="240" w:lineRule="auto"/>
              <w:ind w:left="0" w:firstLine="0"/>
              <w:jc w:val="left"/>
              <w:rPr>
                <w:rFonts w:hint="default" w:ascii="Times New Roman" w:hAnsi="Times New Roman" w:cs="Times New Roman"/>
                <w:sz w:val="21"/>
                <w:szCs w:val="21"/>
              </w:rPr>
            </w:pPr>
          </w:p>
        </w:tc>
        <w:tc>
          <w:tcPr>
            <w:tcW w:w="971"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机械伤害</w:t>
            </w:r>
          </w:p>
        </w:tc>
        <w:tc>
          <w:tcPr>
            <w:tcW w:w="3788"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使用电动机械设备和皮带运输机，存在有机械设备与电动机的传动联结等传动设备的转动部件位置。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19"/>
              </w:numPr>
              <w:spacing w:line="240" w:lineRule="auto"/>
              <w:ind w:left="0" w:firstLine="0"/>
              <w:jc w:val="left"/>
              <w:rPr>
                <w:rFonts w:hint="default" w:ascii="Times New Roman" w:hAnsi="Times New Roman" w:cs="Times New Roman"/>
                <w:sz w:val="21"/>
                <w:szCs w:val="21"/>
              </w:rPr>
            </w:pPr>
          </w:p>
        </w:tc>
        <w:tc>
          <w:tcPr>
            <w:tcW w:w="971"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高处坠落</w:t>
            </w:r>
          </w:p>
        </w:tc>
        <w:tc>
          <w:tcPr>
            <w:tcW w:w="3788"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在高于地面或操作平台2m以上的设备、塔器、平台、框架、房顶、罐顶、杆上等作业场所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19"/>
              </w:numPr>
              <w:spacing w:line="240" w:lineRule="auto"/>
              <w:ind w:left="0" w:firstLine="0"/>
              <w:jc w:val="left"/>
              <w:rPr>
                <w:rFonts w:hint="default" w:ascii="Times New Roman" w:hAnsi="Times New Roman" w:cs="Times New Roman"/>
                <w:sz w:val="21"/>
                <w:szCs w:val="21"/>
              </w:rPr>
            </w:pPr>
          </w:p>
        </w:tc>
        <w:tc>
          <w:tcPr>
            <w:tcW w:w="971"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物体打击</w:t>
            </w:r>
          </w:p>
        </w:tc>
        <w:tc>
          <w:tcPr>
            <w:tcW w:w="3788"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在有高处作业的设备、塔器、平台、框架、房顶、罐顶、杆上等场所的下方。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19"/>
              </w:numPr>
              <w:spacing w:line="240" w:lineRule="auto"/>
              <w:ind w:left="0" w:firstLine="0"/>
              <w:jc w:val="left"/>
              <w:rPr>
                <w:rFonts w:hint="default" w:ascii="Times New Roman" w:hAnsi="Times New Roman" w:cs="Times New Roman"/>
                <w:sz w:val="21"/>
                <w:szCs w:val="21"/>
              </w:rPr>
            </w:pPr>
          </w:p>
        </w:tc>
        <w:tc>
          <w:tcPr>
            <w:tcW w:w="971"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车辆伤害</w:t>
            </w:r>
          </w:p>
        </w:tc>
        <w:tc>
          <w:tcPr>
            <w:tcW w:w="3788"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有车辆行驶的道路及罐区、仓库停车场等相关场所。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19"/>
              </w:numPr>
              <w:spacing w:line="240" w:lineRule="auto"/>
              <w:ind w:left="0" w:firstLine="0"/>
              <w:jc w:val="left"/>
              <w:rPr>
                <w:rFonts w:hint="default" w:ascii="Times New Roman" w:hAnsi="Times New Roman" w:cs="Times New Roman"/>
                <w:sz w:val="21"/>
                <w:szCs w:val="21"/>
              </w:rPr>
            </w:pPr>
          </w:p>
        </w:tc>
        <w:tc>
          <w:tcPr>
            <w:tcW w:w="971"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淹溺</w:t>
            </w:r>
          </w:p>
        </w:tc>
        <w:tc>
          <w:tcPr>
            <w:tcW w:w="3788"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循环水池、污水处理池、事故应急池</w:t>
            </w:r>
            <w:r>
              <w:rPr>
                <w:rFonts w:hint="default" w:ascii="Times New Roman" w:hAnsi="Times New Roman" w:cs="Times New Roman"/>
                <w:sz w:val="21"/>
                <w:szCs w:val="21"/>
              </w:rPr>
              <w:t>等场所。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19"/>
              </w:numPr>
              <w:spacing w:line="240" w:lineRule="auto"/>
              <w:ind w:left="0" w:firstLine="0"/>
              <w:jc w:val="left"/>
              <w:rPr>
                <w:rFonts w:hint="default" w:ascii="Times New Roman" w:hAnsi="Times New Roman" w:cs="Times New Roman"/>
                <w:sz w:val="21"/>
                <w:szCs w:val="21"/>
              </w:rPr>
            </w:pPr>
          </w:p>
        </w:tc>
        <w:tc>
          <w:tcPr>
            <w:tcW w:w="971"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容器爆炸</w:t>
            </w:r>
          </w:p>
        </w:tc>
        <w:tc>
          <w:tcPr>
            <w:tcW w:w="3788"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空气储罐设置的</w:t>
            </w:r>
            <w:r>
              <w:rPr>
                <w:rFonts w:hint="default" w:ascii="Times New Roman" w:hAnsi="Times New Roman" w:cs="Times New Roman"/>
                <w:sz w:val="21"/>
                <w:szCs w:val="21"/>
              </w:rPr>
              <w:t>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19"/>
              </w:numPr>
              <w:spacing w:line="240" w:lineRule="auto"/>
              <w:ind w:left="0" w:firstLine="0"/>
              <w:jc w:val="left"/>
              <w:rPr>
                <w:rFonts w:hint="default" w:ascii="Times New Roman" w:hAnsi="Times New Roman" w:cs="Times New Roman"/>
                <w:sz w:val="21"/>
                <w:szCs w:val="21"/>
              </w:rPr>
            </w:pPr>
          </w:p>
        </w:tc>
        <w:tc>
          <w:tcPr>
            <w:tcW w:w="971"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毒物</w:t>
            </w:r>
          </w:p>
        </w:tc>
        <w:tc>
          <w:tcPr>
            <w:tcW w:w="3788"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101生产车间一、102生产车间二、103生产车间三、104生产车间四、105烘干车间等生产场所；201原料罐区、202成品罐区、203烘干包装库、204成品仓库、205原料仓库、206成品仓库、207原料仓库、308半成品仓库等储存场所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19"/>
              </w:numPr>
              <w:spacing w:line="240" w:lineRule="auto"/>
              <w:ind w:left="0" w:firstLine="0"/>
              <w:jc w:val="left"/>
              <w:rPr>
                <w:rFonts w:hint="default" w:ascii="Times New Roman" w:hAnsi="Times New Roman" w:cs="Times New Roman"/>
                <w:sz w:val="21"/>
                <w:szCs w:val="21"/>
              </w:rPr>
            </w:pPr>
          </w:p>
        </w:tc>
        <w:tc>
          <w:tcPr>
            <w:tcW w:w="971"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粉尘</w:t>
            </w:r>
          </w:p>
        </w:tc>
        <w:tc>
          <w:tcPr>
            <w:tcW w:w="3788"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105烘干车间等物料</w:t>
            </w:r>
            <w:r>
              <w:rPr>
                <w:rFonts w:hint="default" w:ascii="Times New Roman" w:hAnsi="Times New Roman" w:cs="Times New Roman"/>
                <w:sz w:val="21"/>
                <w:szCs w:val="21"/>
                <w:lang w:val="en-US" w:eastAsia="zh-CN"/>
              </w:rPr>
              <w:t>烘干</w:t>
            </w:r>
            <w:r>
              <w:rPr>
                <w:rFonts w:hint="default" w:ascii="Times New Roman" w:hAnsi="Times New Roman" w:cs="Times New Roman"/>
                <w:sz w:val="21"/>
                <w:szCs w:val="21"/>
              </w:rPr>
              <w:t>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19"/>
              </w:numPr>
              <w:spacing w:line="240" w:lineRule="auto"/>
              <w:ind w:left="0" w:firstLine="0"/>
              <w:jc w:val="left"/>
              <w:rPr>
                <w:rFonts w:hint="default" w:ascii="Times New Roman" w:hAnsi="Times New Roman" w:cs="Times New Roman"/>
                <w:sz w:val="21"/>
                <w:szCs w:val="21"/>
              </w:rPr>
            </w:pPr>
          </w:p>
        </w:tc>
        <w:tc>
          <w:tcPr>
            <w:tcW w:w="971"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噪声与振动</w:t>
            </w:r>
          </w:p>
        </w:tc>
        <w:tc>
          <w:tcPr>
            <w:tcW w:w="3788"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有电动机械设备，如风机、各种泵类、各种车辆等及各种流体放等作业场所。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19"/>
              </w:numPr>
              <w:spacing w:line="240" w:lineRule="auto"/>
              <w:ind w:left="0" w:firstLine="0"/>
              <w:jc w:val="left"/>
              <w:rPr>
                <w:rFonts w:hint="default" w:ascii="Times New Roman" w:hAnsi="Times New Roman" w:cs="Times New Roman"/>
                <w:sz w:val="21"/>
                <w:szCs w:val="21"/>
              </w:rPr>
            </w:pPr>
          </w:p>
        </w:tc>
        <w:tc>
          <w:tcPr>
            <w:tcW w:w="971"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高（低）温</w:t>
            </w:r>
          </w:p>
        </w:tc>
        <w:tc>
          <w:tcPr>
            <w:tcW w:w="3788"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存在高温物料的装置附近作业或夏（冬）季长时间的室外作业。</w:t>
            </w:r>
          </w:p>
        </w:tc>
      </w:tr>
    </w:tbl>
    <w:p>
      <w:pPr>
        <w:pStyle w:val="4"/>
        <w:rPr>
          <w:rFonts w:hint="default" w:ascii="Times New Roman" w:hAnsi="Times New Roman" w:cs="Times New Roman"/>
        </w:rPr>
      </w:pPr>
      <w:bookmarkStart w:id="65" w:name="_Toc24238"/>
      <w:r>
        <w:rPr>
          <w:rFonts w:hint="default" w:ascii="Times New Roman" w:hAnsi="Times New Roman" w:cs="Times New Roman"/>
          <w:lang w:val="en-US" w:eastAsia="zh-CN"/>
        </w:rPr>
        <w:t>5.4</w:t>
      </w:r>
      <w:r>
        <w:rPr>
          <w:rFonts w:hint="default" w:ascii="Times New Roman" w:hAnsi="Times New Roman" w:cs="Times New Roman"/>
        </w:rPr>
        <w:t>外部环境及自然环境的影响分析结果</w:t>
      </w:r>
      <w:bookmarkEnd w:id="65"/>
    </w:p>
    <w:p>
      <w:pPr>
        <w:ind w:firstLine="560" w:firstLineChars="20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eastAsia="zh-CN"/>
        </w:rPr>
        <w:t>上饶市广氟医药化工有限公司</w:t>
      </w:r>
      <w:r>
        <w:rPr>
          <w:rFonts w:hint="default" w:ascii="Times New Roman" w:hAnsi="Times New Roman" w:cs="Times New Roman"/>
        </w:rPr>
        <w:t>现役装置位于</w:t>
      </w:r>
      <w:r>
        <w:rPr>
          <w:rFonts w:hint="default" w:ascii="Times New Roman" w:hAnsi="Times New Roman" w:cs="Times New Roman"/>
          <w:lang w:eastAsia="zh-CN"/>
        </w:rPr>
        <w:t>上饶市广丰区洋口镇青桥寒婆岭</w:t>
      </w:r>
      <w:r>
        <w:rPr>
          <w:rFonts w:hint="default" w:ascii="Times New Roman" w:hAnsi="Times New Roman" w:cs="Times New Roman"/>
          <w:lang w:val="en-US" w:eastAsia="zh-CN"/>
        </w:rPr>
        <w:t>的工业园区</w:t>
      </w:r>
      <w:r>
        <w:rPr>
          <w:rFonts w:hint="default" w:ascii="Times New Roman" w:hAnsi="Times New Roman" w:cs="Times New Roman"/>
        </w:rPr>
        <w:t>，符合区域规划的要求。</w:t>
      </w:r>
    </w:p>
    <w:p>
      <w:pPr>
        <w:ind w:firstLine="560" w:firstLineChars="200"/>
        <w:rPr>
          <w:rFonts w:hint="default" w:ascii="Times New Roman" w:hAnsi="Times New Roman" w:cs="Times New Roman"/>
        </w:rPr>
      </w:pPr>
      <w:r>
        <w:rPr>
          <w:rFonts w:hint="default" w:ascii="Times New Roman" w:hAnsi="Times New Roman" w:cs="Times New Roman"/>
        </w:rPr>
        <w:t>2、生产装置、设施的危险、有害因素对外部环境的影响</w:t>
      </w:r>
    </w:p>
    <w:p>
      <w:pPr>
        <w:ind w:firstLine="560" w:firstLineChars="20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eastAsia="zh-CN"/>
        </w:rPr>
        <w:t>上饶市广氟医药化工有限公司</w:t>
      </w:r>
      <w:r>
        <w:rPr>
          <w:rFonts w:hint="default" w:ascii="Times New Roman" w:hAnsi="Times New Roman" w:cs="Times New Roman"/>
        </w:rPr>
        <w:t>在役生产装置对外部影响主要是生产车间和仓库涉及的</w:t>
      </w:r>
      <w:r>
        <w:rPr>
          <w:rFonts w:hint="default" w:ascii="Times New Roman" w:hAnsi="Times New Roman" w:cs="Times New Roman"/>
          <w:lang w:val="en-US" w:eastAsia="zh-CN"/>
        </w:rPr>
        <w:t>有毒和腐蚀性</w:t>
      </w:r>
      <w:r>
        <w:rPr>
          <w:rFonts w:hint="default" w:ascii="Times New Roman" w:hAnsi="Times New Roman" w:cs="Times New Roman"/>
        </w:rPr>
        <w:t>物质泄漏引起的</w:t>
      </w:r>
      <w:r>
        <w:rPr>
          <w:rFonts w:hint="default" w:ascii="Times New Roman" w:hAnsi="Times New Roman" w:cs="Times New Roman"/>
          <w:lang w:val="en-US" w:eastAsia="zh-CN"/>
        </w:rPr>
        <w:t>灼烫、中毒和窒息</w:t>
      </w:r>
      <w:r>
        <w:rPr>
          <w:rFonts w:hint="default" w:ascii="Times New Roman" w:hAnsi="Times New Roman" w:cs="Times New Roman"/>
        </w:rPr>
        <w:t>事故。</w:t>
      </w:r>
    </w:p>
    <w:p>
      <w:pPr>
        <w:ind w:firstLine="560" w:firstLineChars="200"/>
        <w:rPr>
          <w:rFonts w:hint="default" w:ascii="Times New Roman" w:hAnsi="Times New Roman" w:cs="Times New Roman"/>
        </w:rPr>
      </w:pPr>
      <w:r>
        <w:rPr>
          <w:rFonts w:hint="default" w:ascii="Times New Roman" w:hAnsi="Times New Roman" w:cs="Times New Roman"/>
        </w:rPr>
        <w:t>（2）该公司风险级别为III级，属于一般风险（黄色风险），企业厂区在役装置需要控制并整改。</w:t>
      </w:r>
    </w:p>
    <w:p>
      <w:pPr>
        <w:ind w:firstLine="560" w:firstLineChars="200"/>
        <w:rPr>
          <w:rFonts w:hint="default" w:ascii="Times New Roman" w:hAnsi="Times New Roman" w:cs="Times New Roman"/>
        </w:rPr>
      </w:pPr>
      <w:r>
        <w:rPr>
          <w:rFonts w:hint="default" w:ascii="Times New Roman" w:hAnsi="Times New Roman" w:cs="Times New Roman"/>
        </w:rPr>
        <w:t>（</w:t>
      </w:r>
      <w:r>
        <w:rPr>
          <w:rFonts w:hint="eastAsia" w:cs="Times New Roman"/>
          <w:lang w:val="en-US" w:eastAsia="zh-CN"/>
        </w:rPr>
        <w:t>3</w:t>
      </w:r>
      <w:r>
        <w:rPr>
          <w:rFonts w:hint="default" w:ascii="Times New Roman" w:hAnsi="Times New Roman" w:cs="Times New Roman"/>
        </w:rPr>
        <w:t>）该公司的建构筑物与周边企业、环境敏感点等场所、设施间距符合要求，与周边企业、公路、铁路的距离符合相关《建筑设计防火规范》GB50016-2014（2018版）、《公路安全保护条例》的要求。</w:t>
      </w:r>
    </w:p>
    <w:p>
      <w:pPr>
        <w:ind w:firstLine="560" w:firstLineChars="200"/>
        <w:rPr>
          <w:rFonts w:hint="default" w:ascii="Times New Roman" w:hAnsi="Times New Roman" w:cs="Times New Roman"/>
        </w:rPr>
      </w:pPr>
      <w:r>
        <w:rPr>
          <w:rFonts w:hint="default" w:ascii="Times New Roman" w:hAnsi="Times New Roman" w:cs="Times New Roman"/>
        </w:rPr>
        <w:t>3、周边居民、企业和公共设施与公司生产装置、设施的相互影响</w:t>
      </w:r>
    </w:p>
    <w:p>
      <w:pPr>
        <w:ind w:firstLine="560" w:firstLineChars="200"/>
        <w:rPr>
          <w:rFonts w:hint="default" w:ascii="Times New Roman" w:hAnsi="Times New Roman" w:cs="Times New Roman"/>
        </w:rPr>
      </w:pPr>
      <w:r>
        <w:rPr>
          <w:rFonts w:hint="default" w:ascii="Times New Roman" w:hAnsi="Times New Roman" w:cs="Times New Roman"/>
        </w:rPr>
        <w:t>（1）对当地民居生活的影响</w:t>
      </w:r>
    </w:p>
    <w:p>
      <w:pPr>
        <w:ind w:firstLine="560" w:firstLineChars="200"/>
        <w:rPr>
          <w:rFonts w:hint="default" w:ascii="Times New Roman" w:hAnsi="Times New Roman" w:cs="Times New Roman"/>
        </w:rPr>
      </w:pPr>
      <w:r>
        <w:rPr>
          <w:rFonts w:hint="default" w:ascii="Times New Roman" w:hAnsi="Times New Roman" w:cs="Times New Roman"/>
        </w:rPr>
        <w:t>该项目存在着中毒和窒息、灼烫、</w:t>
      </w:r>
      <w:r>
        <w:rPr>
          <w:rFonts w:hint="default" w:ascii="Times New Roman" w:hAnsi="Times New Roman" w:cs="Times New Roman"/>
          <w:lang w:val="en-US" w:eastAsia="zh-CN"/>
        </w:rPr>
        <w:t>火灾、</w:t>
      </w:r>
      <w:r>
        <w:rPr>
          <w:rFonts w:hint="default" w:ascii="Times New Roman" w:hAnsi="Times New Roman" w:cs="Times New Roman"/>
        </w:rPr>
        <w:t>高处坠落、起重伤害、机械伤害、物体打击，触电、淹溺、噪声危害等众多危险有害因素。该项目对周边单位生产经营活动或者居民生活影响的事故主要有灼烫</w:t>
      </w:r>
      <w:r>
        <w:rPr>
          <w:rFonts w:hint="default" w:ascii="Times New Roman" w:hAnsi="Times New Roman" w:cs="Times New Roman"/>
          <w:lang w:eastAsia="zh-CN"/>
        </w:rPr>
        <w:t>、</w:t>
      </w:r>
      <w:r>
        <w:rPr>
          <w:rFonts w:hint="default" w:ascii="Times New Roman" w:hAnsi="Times New Roman" w:cs="Times New Roman"/>
        </w:rPr>
        <w:t>中毒和窒息。</w:t>
      </w:r>
    </w:p>
    <w:p>
      <w:pPr>
        <w:ind w:firstLine="560" w:firstLineChars="200"/>
        <w:rPr>
          <w:rFonts w:hint="default" w:ascii="Times New Roman" w:hAnsi="Times New Roman" w:cs="Times New Roman"/>
        </w:rPr>
      </w:pPr>
      <w:r>
        <w:rPr>
          <w:rFonts w:hint="default" w:ascii="Times New Roman" w:hAnsi="Times New Roman" w:cs="Times New Roman"/>
        </w:rPr>
        <w:t xml:space="preserve">该项目外部安全防护距离范围内无居民区、商业中心、公园等人口密集区域和学校、医院、影剧院、体育场（馆）等公共设施。 </w:t>
      </w:r>
    </w:p>
    <w:p>
      <w:pPr>
        <w:ind w:firstLine="560" w:firstLineChars="200"/>
        <w:rPr>
          <w:rFonts w:hint="default" w:ascii="Times New Roman" w:hAnsi="Times New Roman" w:cs="Times New Roman"/>
        </w:rPr>
      </w:pPr>
      <w:r>
        <w:rPr>
          <w:rFonts w:hint="default" w:ascii="Times New Roman" w:hAnsi="Times New Roman" w:cs="Times New Roman"/>
        </w:rPr>
        <w:t>依据现场踏勘情况和该公司提供资料，该项目与周边最近装置防护距离满足及外部安全防护距离的要求；</w:t>
      </w:r>
    </w:p>
    <w:p>
      <w:pPr>
        <w:ind w:firstLine="560" w:firstLineChars="200"/>
        <w:rPr>
          <w:rFonts w:hint="default" w:ascii="Times New Roman" w:hAnsi="Times New Roman" w:cs="Times New Roman"/>
        </w:rPr>
      </w:pPr>
      <w:r>
        <w:rPr>
          <w:rFonts w:hint="default" w:ascii="Times New Roman" w:hAnsi="Times New Roman" w:cs="Times New Roman"/>
        </w:rPr>
        <w:t>厂内主要噪声源为</w:t>
      </w:r>
      <w:r>
        <w:rPr>
          <w:rFonts w:hint="default" w:ascii="Times New Roman" w:hAnsi="Times New Roman" w:cs="Times New Roman"/>
          <w:lang w:val="en-US" w:eastAsia="zh-CN"/>
        </w:rPr>
        <w:t>空压机</w:t>
      </w:r>
      <w:r>
        <w:rPr>
          <w:rFonts w:hint="default" w:ascii="Times New Roman" w:hAnsi="Times New Roman" w:cs="Times New Roman"/>
        </w:rPr>
        <w:t>及泵类，对空压机及泵类进行必要的降噪处</w:t>
      </w:r>
      <w:r>
        <w:rPr>
          <w:rFonts w:hint="default" w:ascii="Times New Roman" w:hAnsi="Times New Roman" w:cs="Times New Roman"/>
          <w:spacing w:val="-6"/>
          <w:sz w:val="28"/>
        </w:rPr>
        <w:t>理以及有效的隔音消声措施，保证其达到《工业企业厂界噪声标准》之规定。</w:t>
      </w:r>
    </w:p>
    <w:p>
      <w:pPr>
        <w:ind w:firstLine="560" w:firstLineChars="200"/>
        <w:rPr>
          <w:rFonts w:hint="default" w:ascii="Times New Roman" w:hAnsi="Times New Roman" w:cs="Times New Roman"/>
        </w:rPr>
      </w:pPr>
      <w:r>
        <w:rPr>
          <w:rFonts w:hint="default" w:ascii="Times New Roman" w:hAnsi="Times New Roman" w:cs="Times New Roman"/>
        </w:rPr>
        <w:t>综上所述，该项目在正常生产情况下，对其周边环境影响较小。</w:t>
      </w:r>
    </w:p>
    <w:p>
      <w:pPr>
        <w:ind w:firstLine="560" w:firstLineChars="200"/>
        <w:rPr>
          <w:rFonts w:hint="default" w:ascii="Times New Roman" w:hAnsi="Times New Roman" w:cs="Times New Roman"/>
        </w:rPr>
      </w:pPr>
      <w:r>
        <w:rPr>
          <w:rFonts w:hint="default" w:ascii="Times New Roman" w:hAnsi="Times New Roman" w:cs="Times New Roman"/>
        </w:rPr>
        <w:t>（2）周边居民对该公司的影响</w:t>
      </w:r>
    </w:p>
    <w:p>
      <w:pPr>
        <w:ind w:firstLine="560" w:firstLineChars="200"/>
        <w:rPr>
          <w:rFonts w:hint="default" w:ascii="Times New Roman" w:hAnsi="Times New Roman" w:cs="Times New Roman"/>
        </w:rPr>
      </w:pPr>
      <w:r>
        <w:rPr>
          <w:rFonts w:hint="default" w:ascii="Times New Roman" w:hAnsi="Times New Roman" w:cs="Times New Roman"/>
        </w:rPr>
        <w:t>该项目外部安全防护距离范围内无居民区、商业中心、公园等人口密集区域和学校、医院、影剧院、体育场（馆）等公共设施。</w:t>
      </w:r>
    </w:p>
    <w:p>
      <w:pPr>
        <w:ind w:firstLine="560" w:firstLineChars="200"/>
        <w:rPr>
          <w:rFonts w:hint="default" w:ascii="Times New Roman" w:hAnsi="Times New Roman" w:cs="Times New Roman"/>
        </w:rPr>
      </w:pPr>
      <w:r>
        <w:rPr>
          <w:rFonts w:hint="default" w:ascii="Times New Roman" w:hAnsi="Times New Roman" w:cs="Times New Roman"/>
        </w:rPr>
        <w:t>依据现场踏勘情况和该公司提供资料，该项目装置位于厂区内，与最近的居民点、距离最近的企业的距离均满足防火间距的要求。</w:t>
      </w:r>
    </w:p>
    <w:p>
      <w:pPr>
        <w:ind w:firstLine="560" w:firstLineChars="200"/>
        <w:rPr>
          <w:rFonts w:hint="default" w:ascii="Times New Roman" w:hAnsi="Times New Roman" w:cs="Times New Roman"/>
        </w:rPr>
      </w:pPr>
      <w:r>
        <w:rPr>
          <w:rFonts w:hint="default" w:ascii="Times New Roman" w:hAnsi="Times New Roman" w:cs="Times New Roman"/>
        </w:rPr>
        <w:t>周边区域24h内有人员活动，居民的生产经营活动一般不会对该项目的生产产生影响，但是如果没有健全的安全管理制度和措施，致使外部闲散人员能够随意进入该厂，也可对正常的生产经营活动造成不良影响。</w:t>
      </w:r>
    </w:p>
    <w:p>
      <w:pPr>
        <w:ind w:firstLine="560" w:firstLineChars="200"/>
        <w:rPr>
          <w:rFonts w:hint="default" w:ascii="Times New Roman" w:hAnsi="Times New Roman" w:cs="Times New Roman"/>
        </w:rPr>
      </w:pPr>
      <w:r>
        <w:rPr>
          <w:rFonts w:hint="default" w:ascii="Times New Roman" w:hAnsi="Times New Roman" w:cs="Times New Roman"/>
        </w:rPr>
        <w:t>因此，该项目周边居民在正常生产情况下，对该项目的生产、经营活动影响较小。</w:t>
      </w:r>
    </w:p>
    <w:p>
      <w:pPr>
        <w:ind w:firstLine="560" w:firstLineChars="200"/>
        <w:rPr>
          <w:rFonts w:hint="default" w:ascii="Times New Roman" w:hAnsi="Times New Roman" w:cs="Times New Roman"/>
        </w:rPr>
      </w:pPr>
      <w:r>
        <w:rPr>
          <w:rFonts w:hint="default" w:ascii="Times New Roman" w:hAnsi="Times New Roman" w:cs="Times New Roman"/>
        </w:rPr>
        <w:t>3、自然条件的影响</w:t>
      </w:r>
    </w:p>
    <w:p>
      <w:pPr>
        <w:ind w:firstLine="560" w:firstLineChars="200"/>
        <w:rPr>
          <w:rFonts w:hint="default" w:ascii="Times New Roman" w:hAnsi="Times New Roman" w:cs="Times New Roman"/>
        </w:rPr>
      </w:pPr>
      <w:r>
        <w:rPr>
          <w:rFonts w:hint="default" w:ascii="Times New Roman" w:hAnsi="Times New Roman" w:cs="Times New Roman"/>
        </w:rPr>
        <w:t>（1）地震和不良地质构造</w:t>
      </w:r>
    </w:p>
    <w:p>
      <w:pPr>
        <w:ind w:firstLine="560" w:firstLineChars="200"/>
        <w:rPr>
          <w:rFonts w:hint="default" w:ascii="Times New Roman" w:hAnsi="Times New Roman" w:cs="Times New Roman"/>
        </w:rPr>
      </w:pPr>
      <w:r>
        <w:rPr>
          <w:rFonts w:hint="default" w:ascii="Times New Roman" w:hAnsi="Times New Roman" w:cs="Times New Roman"/>
        </w:rPr>
        <w:t>地质灾害主要包括不良地质结构，造成建筑、基础下沉等，影响安全运行。如发生地震灾害，则可能损坏设备，造成人员伤亡，甚至引发火灾、爆炸事故，造成严重事故。</w:t>
      </w:r>
    </w:p>
    <w:p>
      <w:pPr>
        <w:ind w:firstLine="560" w:firstLineChars="200"/>
        <w:rPr>
          <w:rFonts w:hint="default" w:ascii="Times New Roman" w:hAnsi="Times New Roman" w:cs="Times New Roman"/>
        </w:rPr>
      </w:pPr>
      <w:r>
        <w:rPr>
          <w:rFonts w:hint="default" w:ascii="Times New Roman" w:hAnsi="Times New Roman" w:cs="Times New Roman"/>
        </w:rPr>
        <w:t>公司所在地无不良地质构造，建筑、设备的基础布置在持力层上，地震烈度为6级，地震灾害的危险较小。</w:t>
      </w:r>
    </w:p>
    <w:p>
      <w:pPr>
        <w:ind w:firstLine="560" w:firstLineChars="200"/>
        <w:rPr>
          <w:rFonts w:hint="default" w:ascii="Times New Roman" w:hAnsi="Times New Roman" w:cs="Times New Roman"/>
        </w:rPr>
      </w:pPr>
      <w:r>
        <w:rPr>
          <w:rFonts w:hint="default" w:ascii="Times New Roman" w:hAnsi="Times New Roman" w:cs="Times New Roman"/>
        </w:rPr>
        <w:t>（2）雷击</w:t>
      </w:r>
    </w:p>
    <w:p>
      <w:pPr>
        <w:ind w:firstLine="560" w:firstLineChars="200"/>
        <w:rPr>
          <w:rFonts w:hint="default" w:ascii="Times New Roman" w:hAnsi="Times New Roman" w:cs="Times New Roman"/>
        </w:rPr>
      </w:pPr>
      <w:r>
        <w:rPr>
          <w:rFonts w:hint="default" w:ascii="Times New Roman" w:hAnsi="Times New Roman" w:cs="Times New Roman"/>
        </w:rPr>
        <w:t>公司地处南方多雷地带，易受雷电袭击，雷击可能造成人员伤害、设备损坏，同时雷击可使电气出现故障或损坏电气设备。雷电产生感应电、使</w:t>
      </w:r>
      <w:r>
        <w:rPr>
          <w:rFonts w:hint="default" w:ascii="Times New Roman" w:hAnsi="Times New Roman" w:cs="Times New Roman"/>
          <w:lang w:val="en-US" w:eastAsia="zh-CN"/>
        </w:rPr>
        <w:t>自控系统</w:t>
      </w:r>
      <w:r>
        <w:rPr>
          <w:rFonts w:hint="default" w:ascii="Times New Roman" w:hAnsi="Times New Roman" w:cs="Times New Roman"/>
        </w:rPr>
        <w:t>计算机电源过大造成故障，也可能因电磁感应使自控系统控制回路出现错误信号，造成误动作等，雷击同样对易燃液体的装卸造成极大的影响。</w:t>
      </w:r>
    </w:p>
    <w:p>
      <w:pPr>
        <w:ind w:firstLine="560" w:firstLineChars="200"/>
        <w:rPr>
          <w:rFonts w:hint="default" w:ascii="Times New Roman" w:hAnsi="Times New Roman" w:cs="Times New Roman"/>
        </w:rPr>
      </w:pPr>
      <w:r>
        <w:rPr>
          <w:rFonts w:hint="default" w:ascii="Times New Roman" w:hAnsi="Times New Roman" w:cs="Times New Roman"/>
        </w:rPr>
        <w:t>（3）冰冻和风雨</w:t>
      </w:r>
    </w:p>
    <w:p>
      <w:pPr>
        <w:ind w:firstLine="560" w:firstLineChars="200"/>
        <w:rPr>
          <w:rFonts w:hint="default" w:ascii="Times New Roman" w:hAnsi="Times New Roman" w:cs="Times New Roman"/>
        </w:rPr>
      </w:pPr>
      <w:r>
        <w:rPr>
          <w:rFonts w:hint="default" w:ascii="Times New Roman" w:hAnsi="Times New Roman" w:cs="Times New Roman"/>
        </w:rPr>
        <w:t>公司所在地属南方亚热带气候，春夏季多雨水，夏季常有大风天气，雨水和大风能加大生产装置的巡检和检修的危险性，加大设备腐蚀，同时造成泄漏的有毒气体扩散到较远的范围，另一方面，大风可加快有毒气体的扩散，不易达到危害浓度。该公司所在地无冰冻危害。</w:t>
      </w:r>
    </w:p>
    <w:p>
      <w:pPr>
        <w:ind w:firstLine="560" w:firstLineChars="200"/>
        <w:rPr>
          <w:rFonts w:hint="default" w:ascii="Times New Roman" w:hAnsi="Times New Roman" w:cs="Times New Roman"/>
        </w:rPr>
      </w:pPr>
      <w:r>
        <w:rPr>
          <w:rFonts w:hint="default" w:ascii="Times New Roman" w:hAnsi="Times New Roman" w:cs="Times New Roman"/>
        </w:rPr>
        <w:t>（4）暴雨、洪水</w:t>
      </w:r>
    </w:p>
    <w:p>
      <w:pPr>
        <w:ind w:firstLine="560" w:firstLineChars="200"/>
        <w:rPr>
          <w:rFonts w:hint="default" w:ascii="Times New Roman" w:hAnsi="Times New Roman" w:cs="Times New Roman"/>
        </w:rPr>
      </w:pPr>
      <w:r>
        <w:rPr>
          <w:rFonts w:hint="default" w:ascii="Times New Roman" w:hAnsi="Times New Roman" w:cs="Times New Roman"/>
          <w:lang w:eastAsia="zh-CN"/>
        </w:rPr>
        <w:t>上饶市广氟医药化工有限公司</w:t>
      </w:r>
      <w:r>
        <w:rPr>
          <w:rFonts w:hint="default" w:ascii="Times New Roman" w:hAnsi="Times New Roman" w:cs="Times New Roman"/>
        </w:rPr>
        <w:t>厂址位于丘陵地带，厂址标高高于当地最高洪水位，厂址不</w:t>
      </w:r>
      <w:r>
        <w:rPr>
          <w:rFonts w:hint="eastAsia" w:cs="Times New Roman"/>
          <w:lang w:val="en-US" w:eastAsia="zh-CN"/>
        </w:rPr>
        <w:t>易</w:t>
      </w:r>
      <w:r>
        <w:rPr>
          <w:rFonts w:hint="default" w:ascii="Times New Roman" w:hAnsi="Times New Roman" w:cs="Times New Roman"/>
        </w:rPr>
        <w:t>受洪水威胁。</w:t>
      </w:r>
    </w:p>
    <w:p>
      <w:pPr>
        <w:ind w:firstLine="560" w:firstLineChars="200"/>
        <w:rPr>
          <w:rFonts w:hint="default" w:ascii="Times New Roman" w:hAnsi="Times New Roman" w:cs="Times New Roman"/>
        </w:rPr>
      </w:pPr>
      <w:r>
        <w:rPr>
          <w:rFonts w:hint="default" w:ascii="Times New Roman" w:hAnsi="Times New Roman" w:cs="Times New Roman"/>
        </w:rPr>
        <w:t>厂址所在地夏季易发生暴雨，厂内设置完善的排水设施，发生暴雨不会造成内涝。</w:t>
      </w:r>
    </w:p>
    <w:p>
      <w:pPr>
        <w:ind w:firstLine="560" w:firstLineChars="200"/>
        <w:rPr>
          <w:rFonts w:hint="default" w:ascii="Times New Roman" w:hAnsi="Times New Roman" w:cs="Times New Roman"/>
        </w:rPr>
      </w:pPr>
      <w:r>
        <w:rPr>
          <w:rFonts w:hint="default" w:ascii="Times New Roman" w:hAnsi="Times New Roman" w:cs="Times New Roman"/>
        </w:rPr>
        <w:t>（5）高气温及潮湿天气</w:t>
      </w:r>
    </w:p>
    <w:p>
      <w:pPr>
        <w:ind w:firstLine="560" w:firstLineChars="200"/>
        <w:rPr>
          <w:rFonts w:hint="default" w:ascii="Times New Roman" w:hAnsi="Times New Roman" w:cs="Times New Roman"/>
        </w:rPr>
      </w:pPr>
      <w:r>
        <w:rPr>
          <w:rFonts w:hint="default" w:ascii="Times New Roman" w:hAnsi="Times New Roman" w:cs="Times New Roman"/>
        </w:rPr>
        <w:t>厂址所在区域极端最高气温为4</w:t>
      </w:r>
      <w:r>
        <w:rPr>
          <w:rFonts w:hint="default" w:ascii="Times New Roman" w:hAnsi="Times New Roman" w:cs="Times New Roman"/>
          <w:lang w:val="en-US" w:eastAsia="zh-CN"/>
        </w:rPr>
        <w:t>0.5</w:t>
      </w:r>
      <w:r>
        <w:rPr>
          <w:rFonts w:hint="default" w:ascii="Times New Roman" w:hAnsi="Times New Roman" w:cs="Times New Roman"/>
        </w:rPr>
        <w:t>℃。高气温可能导致生产、贮存设备内的液体介质气化挥发速度加快，可引起中毒</w:t>
      </w:r>
      <w:r>
        <w:rPr>
          <w:rFonts w:hint="default" w:ascii="Times New Roman" w:hAnsi="Times New Roman" w:cs="Times New Roman"/>
          <w:lang w:val="en-US" w:eastAsia="zh-CN"/>
        </w:rPr>
        <w:t>和窒息</w:t>
      </w:r>
      <w:r>
        <w:rPr>
          <w:rFonts w:hint="default" w:ascii="Times New Roman" w:hAnsi="Times New Roman" w:cs="Times New Roman"/>
        </w:rPr>
        <w:t>事故。另外高气温也可造成人员中暑。企业原料中大多数物料的储存温度要求不超过30℃，因此，夏季高温可能对物质的储存带来危险。</w:t>
      </w:r>
    </w:p>
    <w:p>
      <w:pPr>
        <w:ind w:firstLine="560" w:firstLineChars="200"/>
        <w:rPr>
          <w:rFonts w:hint="default" w:ascii="Times New Roman" w:hAnsi="Times New Roman" w:cs="Times New Roman"/>
        </w:rPr>
      </w:pPr>
      <w:r>
        <w:rPr>
          <w:rFonts w:hint="default" w:ascii="Times New Roman" w:hAnsi="Times New Roman" w:cs="Times New Roman"/>
          <w:lang w:eastAsia="zh-CN"/>
        </w:rPr>
        <w:t>上饶市广氟医药化工有限公司</w:t>
      </w:r>
      <w:r>
        <w:rPr>
          <w:rFonts w:hint="default" w:ascii="Times New Roman" w:hAnsi="Times New Roman" w:cs="Times New Roman"/>
        </w:rPr>
        <w:t>原料、产品存在腐蚀性化学品，雨水和潮湿空气加大了腐蚀性化学品对金属及砼结构具有腐蚀性，在运行过程中建筑、设备、管道易腐蚀，而腐蚀可能造成设备的损坏而发生泄漏，而基础、管架的腐蚀可能造成设备、管道的倾覆、变形、断裂等引起事故。</w:t>
      </w:r>
    </w:p>
    <w:p>
      <w:pPr>
        <w:ind w:firstLine="560" w:firstLineChars="200"/>
        <w:rPr>
          <w:rFonts w:hint="default" w:ascii="Times New Roman" w:hAnsi="Times New Roman" w:cs="Times New Roman"/>
        </w:rPr>
      </w:pPr>
      <w:r>
        <w:rPr>
          <w:rFonts w:hint="default" w:ascii="Times New Roman" w:hAnsi="Times New Roman" w:cs="Times New Roman"/>
        </w:rPr>
        <w:t>（6）低气温</w:t>
      </w:r>
    </w:p>
    <w:p>
      <w:pPr>
        <w:ind w:firstLine="560" w:firstLineChars="200"/>
        <w:rPr>
          <w:rFonts w:hint="default" w:ascii="Times New Roman" w:hAnsi="Times New Roman" w:cs="Times New Roman"/>
        </w:rPr>
      </w:pPr>
      <w:r>
        <w:rPr>
          <w:rFonts w:hint="default" w:ascii="Times New Roman" w:hAnsi="Times New Roman" w:cs="Times New Roman"/>
        </w:rPr>
        <w:t>厂址所在区域极端最低气温-</w:t>
      </w:r>
      <w:r>
        <w:rPr>
          <w:rFonts w:hint="default" w:ascii="Times New Roman" w:hAnsi="Times New Roman" w:cs="Times New Roman"/>
          <w:lang w:val="en-US" w:eastAsia="zh-CN"/>
        </w:rPr>
        <w:t>9.1</w:t>
      </w:r>
      <w:r>
        <w:rPr>
          <w:rFonts w:hint="default" w:ascii="Times New Roman" w:hAnsi="Times New Roman" w:cs="Times New Roman"/>
        </w:rPr>
        <w:t>℃。低气温和潮湿空气可能造成屋顶结冰压塌建筑，造成事故；同时，地面结冰，容易造成人员滑倒跌伤等。</w:t>
      </w:r>
    </w:p>
    <w:p>
      <w:pPr>
        <w:ind w:firstLine="560" w:firstLineChars="200"/>
        <w:rPr>
          <w:rFonts w:hint="default" w:ascii="Times New Roman" w:hAnsi="Times New Roman" w:cs="Times New Roman"/>
        </w:rPr>
      </w:pPr>
      <w:r>
        <w:rPr>
          <w:rFonts w:hint="default" w:ascii="Times New Roman" w:hAnsi="Times New Roman" w:cs="Times New Roman"/>
        </w:rPr>
        <w:t>5、安全生产管理对危险、有害因素的影响</w:t>
      </w:r>
    </w:p>
    <w:p>
      <w:pPr>
        <w:ind w:firstLine="560" w:firstLineChars="200"/>
        <w:rPr>
          <w:rFonts w:hint="default" w:ascii="Times New Roman" w:hAnsi="Times New Roman" w:cs="Times New Roman"/>
        </w:rPr>
      </w:pPr>
      <w:r>
        <w:rPr>
          <w:rFonts w:hint="default" w:ascii="Times New Roman" w:hAnsi="Times New Roman" w:cs="Times New Roman"/>
        </w:rPr>
        <w:t>安全管理和监督上的缺陷往往导致不安全（设备、设施、物料）状况和不安全的行为，虽然不是造成事故的直接原因，但有时却是导致事故的本质原因。安全管理和监督上的缺陷主要表现为：</w:t>
      </w:r>
    </w:p>
    <w:p>
      <w:pPr>
        <w:ind w:firstLine="560" w:firstLineChars="200"/>
        <w:rPr>
          <w:rFonts w:hint="default" w:ascii="Times New Roman" w:hAnsi="Times New Roman" w:cs="Times New Roman"/>
        </w:rPr>
      </w:pPr>
      <w:r>
        <w:rPr>
          <w:rFonts w:hint="default" w:ascii="Times New Roman" w:hAnsi="Times New Roman" w:cs="Times New Roman"/>
        </w:rPr>
        <w:t>（1）工程设计有缺陷，使用的材料有问题，零部件制造未达到质量要求等，造成了机（设备、设施、物料等）上的不安全因素。</w:t>
      </w:r>
    </w:p>
    <w:p>
      <w:pPr>
        <w:ind w:firstLine="560" w:firstLineChars="200"/>
        <w:rPr>
          <w:rFonts w:hint="default" w:ascii="Times New Roman" w:hAnsi="Times New Roman" w:cs="Times New Roman"/>
        </w:rPr>
      </w:pPr>
      <w:r>
        <w:rPr>
          <w:rFonts w:hint="default" w:ascii="Times New Roman" w:hAnsi="Times New Roman" w:cs="Times New Roman"/>
        </w:rPr>
        <w:t>（2）安全管理不科学，安全组织不健全，安全生产责任制不明确或不贯彻，领导者有官僚主义作风。</w:t>
      </w:r>
    </w:p>
    <w:p>
      <w:pPr>
        <w:ind w:firstLine="560" w:firstLineChars="200"/>
        <w:rPr>
          <w:rFonts w:hint="default" w:ascii="Times New Roman" w:hAnsi="Times New Roman" w:cs="Times New Roman"/>
        </w:rPr>
      </w:pPr>
      <w:r>
        <w:rPr>
          <w:rFonts w:hint="default" w:ascii="Times New Roman" w:hAnsi="Times New Roman" w:cs="Times New Roman"/>
        </w:rPr>
        <w:t>（3）安全工作流于形式，出了事故抓一抓，检查抓一抓，平常无人负责。安全措施不落实，不认真贯彻安全生产的方针。</w:t>
      </w:r>
    </w:p>
    <w:p>
      <w:pPr>
        <w:ind w:firstLine="560" w:firstLineChars="200"/>
        <w:rPr>
          <w:rFonts w:hint="default" w:ascii="Times New Roman" w:hAnsi="Times New Roman" w:cs="Times New Roman"/>
        </w:rPr>
      </w:pPr>
      <w:r>
        <w:rPr>
          <w:rFonts w:hint="default" w:ascii="Times New Roman" w:hAnsi="Times New Roman" w:cs="Times New Roman"/>
        </w:rPr>
        <w:t>（4）对职工不进行思想教育，劳动纪律松驰。</w:t>
      </w:r>
    </w:p>
    <w:p>
      <w:pPr>
        <w:ind w:firstLine="560" w:firstLineChars="200"/>
        <w:rPr>
          <w:rFonts w:hint="default" w:ascii="Times New Roman" w:hAnsi="Times New Roman" w:cs="Times New Roman"/>
        </w:rPr>
      </w:pPr>
      <w:r>
        <w:rPr>
          <w:rFonts w:hint="default" w:ascii="Times New Roman" w:hAnsi="Times New Roman" w:cs="Times New Roman"/>
        </w:rPr>
        <w:t>（5）忽略防护措施，机器设备无防护保险装置，安全信号失灵，通风照明不合要求，安全工具不齐备，存在的隐患没有及时消除。</w:t>
      </w:r>
    </w:p>
    <w:p>
      <w:pPr>
        <w:ind w:firstLine="560" w:firstLineChars="200"/>
        <w:rPr>
          <w:rFonts w:hint="default" w:ascii="Times New Roman" w:hAnsi="Times New Roman" w:cs="Times New Roman"/>
        </w:rPr>
      </w:pPr>
      <w:r>
        <w:rPr>
          <w:rFonts w:hint="default" w:ascii="Times New Roman" w:hAnsi="Times New Roman" w:cs="Times New Roman"/>
        </w:rPr>
        <w:t>（6）分配工人工作缺乏适当程序，用人不当。</w:t>
      </w:r>
    </w:p>
    <w:p>
      <w:pPr>
        <w:ind w:firstLine="560" w:firstLineChars="200"/>
        <w:rPr>
          <w:rFonts w:hint="default" w:ascii="Times New Roman" w:hAnsi="Times New Roman" w:cs="Times New Roman"/>
        </w:rPr>
      </w:pPr>
      <w:r>
        <w:rPr>
          <w:rFonts w:hint="default" w:ascii="Times New Roman" w:hAnsi="Times New Roman" w:cs="Times New Roman"/>
        </w:rPr>
        <w:t>（7）安全教育和技术培训不足或流于形式，对新工人安全教育不落实。</w:t>
      </w:r>
    </w:p>
    <w:p>
      <w:pPr>
        <w:ind w:firstLine="560" w:firstLineChars="200"/>
        <w:rPr>
          <w:rFonts w:hint="default" w:ascii="Times New Roman" w:hAnsi="Times New Roman" w:cs="Times New Roman"/>
        </w:rPr>
      </w:pPr>
      <w:r>
        <w:rPr>
          <w:rFonts w:hint="default" w:ascii="Times New Roman" w:hAnsi="Times New Roman" w:cs="Times New Roman"/>
        </w:rPr>
        <w:t>（8）安全规程、劳动保护法律实施不力，贯彻不彻底，没有作到横向到边，纵向到底。</w:t>
      </w:r>
    </w:p>
    <w:p>
      <w:pPr>
        <w:ind w:firstLine="560" w:firstLineChars="200"/>
        <w:rPr>
          <w:rFonts w:hint="default" w:ascii="Times New Roman" w:hAnsi="Times New Roman" w:cs="Times New Roman"/>
        </w:rPr>
      </w:pPr>
      <w:r>
        <w:rPr>
          <w:rFonts w:hint="default" w:ascii="Times New Roman" w:hAnsi="Times New Roman" w:cs="Times New Roman"/>
        </w:rPr>
        <w:t>（9）事故应急预案不落实，对事故报告不及时，调查、处理不当，法制观念不强，执法不严等。</w:t>
      </w:r>
    </w:p>
    <w:p>
      <w:pPr>
        <w:ind w:firstLine="560" w:firstLineChars="200"/>
        <w:rPr>
          <w:rFonts w:hint="default" w:ascii="Times New Roman" w:hAnsi="Times New Roman" w:cs="Times New Roman"/>
        </w:rPr>
      </w:pPr>
      <w:r>
        <w:rPr>
          <w:rFonts w:hint="default" w:ascii="Times New Roman" w:hAnsi="Times New Roman" w:cs="Times New Roman"/>
        </w:rPr>
        <w:t>总之，安全生产管理主要体现在安全管理机构或专职安全管理人员的配置，安全管理规章制度的制定和执行，职工安全教育及培训的程度，安全设施的配置及维护，劳动保护用品的发放及使用，安全投入的保障等方面。如果企业管理层不能保证安全投入，不按要求设置安全管理机构、配备专职安全管理人员，对员工不进行必要的安全教育或员工安全意识淡薄，存在“三违”现象，都属于安全生产管理缺陷，如安全生产管理的缺陷，可能造成设备故障（缺陷）不能及时发现处理，设备长期得不到维护、检修或检修质量不能保证，安全设施、防护用品（护具）不能发挥正常功能，从而引发事故；也可因管理松懈而人员失误增多等。管理缺陷通常表现为违章指挥、违章作业、违反劳动纪律以及物的不安全状态不能及时得到消除，隐患得不以及时整改，从而使危险因素转化为事故。</w:t>
      </w:r>
    </w:p>
    <w:p>
      <w:pPr>
        <w:ind w:firstLine="560" w:firstLineChars="200"/>
        <w:rPr>
          <w:rFonts w:hint="default" w:ascii="Times New Roman" w:hAnsi="Times New Roman" w:cs="Times New Roman"/>
        </w:rPr>
      </w:pPr>
      <w:r>
        <w:rPr>
          <w:rFonts w:hint="default" w:ascii="Times New Roman" w:hAnsi="Times New Roman" w:cs="Times New Roman"/>
        </w:rPr>
        <w:t>安全生产管理缺陷主要依靠健全安全管理机构、完善安全管理规章制度并严格执行，加强员工职业技能的培训和安全知识、技能的培训，提高员工的整体素质来消除。制定工艺操作法，规定各岗位和操作程序和方法，进行事故设想，总结各岗位、设备可能存在的故障类型、判断及处理方法并写入操作法中，制定生产安全事故应急方案，是控制事故发生的一个重要手段。</w:t>
      </w:r>
    </w:p>
    <w:p>
      <w:pPr>
        <w:jc w:val="center"/>
        <w:outlineLvl w:val="0"/>
        <w:rPr>
          <w:rFonts w:hint="default" w:ascii="Times New Roman" w:hAnsi="Times New Roman" w:cs="Times New Roman"/>
          <w:b/>
          <w:bCs/>
        </w:rPr>
      </w:pPr>
      <w:r>
        <w:rPr>
          <w:rFonts w:hint="default" w:ascii="Times New Roman" w:hAnsi="Times New Roman" w:cs="Times New Roman"/>
        </w:rPr>
        <w:br w:type="page"/>
      </w:r>
      <w:bookmarkStart w:id="66" w:name="_Toc4538"/>
      <w:bookmarkStart w:id="67" w:name="_Toc30060"/>
      <w:bookmarkStart w:id="68" w:name="_Toc5854"/>
      <w:r>
        <w:rPr>
          <w:rStyle w:val="37"/>
          <w:rFonts w:hint="default" w:ascii="Times New Roman" w:hAnsi="Times New Roman" w:cs="Times New Roman"/>
          <w:sz w:val="32"/>
          <w:szCs w:val="32"/>
          <w:lang w:val="en-US" w:eastAsia="zh-CN"/>
        </w:rPr>
        <w:t>6</w:t>
      </w:r>
      <w:bookmarkEnd w:id="66"/>
      <w:bookmarkEnd w:id="67"/>
      <w:r>
        <w:rPr>
          <w:rStyle w:val="37"/>
          <w:rFonts w:hint="default" w:ascii="Times New Roman" w:hAnsi="Times New Roman" w:cs="Times New Roman"/>
          <w:sz w:val="32"/>
          <w:szCs w:val="32"/>
        </w:rPr>
        <w:t>评价单元划分与评价方法</w:t>
      </w:r>
      <w:bookmarkEnd w:id="68"/>
    </w:p>
    <w:p>
      <w:pPr>
        <w:pStyle w:val="4"/>
        <w:rPr>
          <w:rFonts w:hint="default" w:ascii="Times New Roman" w:hAnsi="Times New Roman" w:cs="Times New Roman"/>
        </w:rPr>
      </w:pPr>
      <w:bookmarkStart w:id="69" w:name="_Toc14752"/>
      <w:bookmarkStart w:id="70" w:name="_Toc21806"/>
      <w:bookmarkStart w:id="71" w:name="_Toc22904"/>
      <w:r>
        <w:rPr>
          <w:rFonts w:hint="default" w:ascii="Times New Roman" w:hAnsi="Times New Roman" w:cs="Times New Roman"/>
          <w:lang w:val="en-US" w:eastAsia="zh-CN"/>
        </w:rPr>
        <w:t>6</w:t>
      </w:r>
      <w:r>
        <w:rPr>
          <w:rFonts w:hint="default" w:ascii="Times New Roman" w:hAnsi="Times New Roman" w:cs="Times New Roman"/>
        </w:rPr>
        <w:t>.1</w:t>
      </w:r>
      <w:bookmarkEnd w:id="69"/>
      <w:bookmarkEnd w:id="70"/>
      <w:r>
        <w:rPr>
          <w:rFonts w:hint="default" w:ascii="Times New Roman" w:hAnsi="Times New Roman" w:cs="Times New Roman"/>
        </w:rPr>
        <w:t>评价单元的划分原则</w:t>
      </w:r>
      <w:bookmarkEnd w:id="71"/>
    </w:p>
    <w:p>
      <w:pPr>
        <w:ind w:firstLine="560" w:firstLineChars="200"/>
        <w:rPr>
          <w:rFonts w:hint="default" w:ascii="Times New Roman" w:hAnsi="Times New Roman" w:cs="Times New Roman"/>
        </w:rPr>
      </w:pPr>
      <w:r>
        <w:rPr>
          <w:rFonts w:hint="default" w:ascii="Times New Roman" w:hAnsi="Times New Roman" w:cs="Times New Roman"/>
        </w:rPr>
        <w:t>评价单元一般以生产工艺、工艺装置、物料的特点特征与危险、有害因素的类别、分布进行划分，常见的评价单元划分原则和方法有：</w:t>
      </w:r>
    </w:p>
    <w:p>
      <w:pPr>
        <w:ind w:firstLine="560" w:firstLineChars="200"/>
        <w:rPr>
          <w:rFonts w:hint="default" w:ascii="Times New Roman" w:hAnsi="Times New Roman" w:cs="Times New Roman"/>
        </w:rPr>
      </w:pPr>
      <w:r>
        <w:rPr>
          <w:rFonts w:hint="default" w:ascii="Times New Roman" w:hAnsi="Times New Roman" w:cs="Times New Roman"/>
        </w:rPr>
        <w:t>1、以危险、有害因素的类别为主划分评价单元</w:t>
      </w:r>
    </w:p>
    <w:p>
      <w:pPr>
        <w:ind w:firstLine="560" w:firstLineChars="200"/>
        <w:rPr>
          <w:rFonts w:hint="default" w:ascii="Times New Roman" w:hAnsi="Times New Roman" w:cs="Times New Roman"/>
        </w:rPr>
      </w:pPr>
      <w:r>
        <w:rPr>
          <w:rFonts w:hint="default" w:ascii="Times New Roman" w:hAnsi="Times New Roman" w:cs="Times New Roman"/>
        </w:rPr>
        <w:t>2、以装置和物质特征划分评价单元</w:t>
      </w:r>
    </w:p>
    <w:p>
      <w:pPr>
        <w:ind w:firstLine="560" w:firstLineChars="200"/>
        <w:rPr>
          <w:rFonts w:hint="default" w:ascii="Times New Roman" w:hAnsi="Times New Roman" w:cs="Times New Roman"/>
        </w:rPr>
      </w:pPr>
      <w:r>
        <w:rPr>
          <w:rFonts w:hint="default" w:ascii="Times New Roman" w:hAnsi="Times New Roman" w:cs="Times New Roman"/>
        </w:rPr>
        <w:t>3、依据评价方法的有关具体规定划分评价单元</w:t>
      </w:r>
    </w:p>
    <w:p>
      <w:pPr>
        <w:pStyle w:val="4"/>
        <w:rPr>
          <w:rFonts w:hint="default" w:ascii="Times New Roman" w:hAnsi="Times New Roman" w:cs="Times New Roman"/>
        </w:rPr>
      </w:pPr>
      <w:bookmarkStart w:id="72" w:name="_Toc18133"/>
      <w:bookmarkStart w:id="73" w:name="_Toc10552"/>
      <w:bookmarkStart w:id="74" w:name="_Toc23391"/>
      <w:r>
        <w:rPr>
          <w:rFonts w:hint="default" w:ascii="Times New Roman" w:hAnsi="Times New Roman" w:cs="Times New Roman"/>
          <w:lang w:val="en-US" w:eastAsia="zh-CN"/>
        </w:rPr>
        <w:t>6</w:t>
      </w:r>
      <w:r>
        <w:rPr>
          <w:rFonts w:hint="default" w:ascii="Times New Roman" w:hAnsi="Times New Roman" w:cs="Times New Roman"/>
        </w:rPr>
        <w:t>.2评价单元的划分结果</w:t>
      </w:r>
      <w:bookmarkEnd w:id="72"/>
      <w:bookmarkEnd w:id="73"/>
      <w:bookmarkEnd w:id="74"/>
    </w:p>
    <w:p>
      <w:pPr>
        <w:ind w:firstLine="560" w:firstLineChars="200"/>
        <w:rPr>
          <w:rFonts w:hint="default" w:ascii="Times New Roman" w:hAnsi="Times New Roman" w:cs="Times New Roman"/>
        </w:rPr>
      </w:pPr>
      <w:r>
        <w:rPr>
          <w:rFonts w:hint="default" w:ascii="Times New Roman" w:hAnsi="Times New Roman" w:cs="Times New Roman"/>
        </w:rPr>
        <w:t>根据评价单元划分的原则，结合</w:t>
      </w:r>
      <w:r>
        <w:rPr>
          <w:rFonts w:hint="default" w:ascii="Times New Roman" w:hAnsi="Times New Roman" w:cs="Times New Roman"/>
          <w:lang w:eastAsia="zh-CN"/>
        </w:rPr>
        <w:t>上饶市广氟医药化工有限公司</w:t>
      </w:r>
      <w:r>
        <w:rPr>
          <w:rFonts w:hint="default" w:ascii="Times New Roman" w:hAnsi="Times New Roman" w:cs="Times New Roman"/>
        </w:rPr>
        <w:t>现役生产装置自身的工艺特点，进行评价单元划分：</w:t>
      </w:r>
    </w:p>
    <w:p>
      <w:pPr>
        <w:jc w:val="center"/>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6</w:t>
      </w:r>
      <w:r>
        <w:rPr>
          <w:rFonts w:hint="default" w:ascii="Times New Roman" w:hAnsi="Times New Roman" w:cs="Times New Roman"/>
        </w:rPr>
        <w:t>.2-1 各单元采用的评价方法</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6"/>
        <w:gridCol w:w="2829"/>
        <w:gridCol w:w="3311"/>
        <w:gridCol w:w="24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bookmarkStart w:id="75" w:name="_Toc21269"/>
            <w:bookmarkStart w:id="76" w:name="_Toc12947"/>
            <w:r>
              <w:rPr>
                <w:rFonts w:hint="default" w:ascii="Times New Roman" w:hAnsi="Times New Roman" w:cs="Times New Roman"/>
                <w:sz w:val="21"/>
                <w:szCs w:val="21"/>
              </w:rPr>
              <w:t>序号</w:t>
            </w:r>
          </w:p>
        </w:tc>
        <w:tc>
          <w:tcPr>
            <w:tcW w:w="282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评价单元</w:t>
            </w:r>
          </w:p>
        </w:tc>
        <w:tc>
          <w:tcPr>
            <w:tcW w:w="331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评价子单元</w:t>
            </w:r>
          </w:p>
        </w:tc>
        <w:tc>
          <w:tcPr>
            <w:tcW w:w="245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采用的评价方法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82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厂址及周边环境单元</w:t>
            </w:r>
          </w:p>
        </w:tc>
        <w:tc>
          <w:tcPr>
            <w:tcW w:w="331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45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安全检查表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82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总平面布置</w:t>
            </w:r>
            <w:r>
              <w:rPr>
                <w:rFonts w:hint="default" w:ascii="Times New Roman" w:hAnsi="Times New Roman" w:cs="Times New Roman"/>
                <w:sz w:val="21"/>
                <w:szCs w:val="21"/>
                <w:lang w:val="en-US" w:eastAsia="zh-CN"/>
              </w:rPr>
              <w:t>及建构筑物</w:t>
            </w:r>
            <w:r>
              <w:rPr>
                <w:rFonts w:hint="default" w:ascii="Times New Roman" w:hAnsi="Times New Roman" w:cs="Times New Roman"/>
                <w:sz w:val="21"/>
                <w:szCs w:val="21"/>
              </w:rPr>
              <w:t>单元</w:t>
            </w:r>
          </w:p>
        </w:tc>
        <w:tc>
          <w:tcPr>
            <w:tcW w:w="331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45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安全检查表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69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82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生产工艺装置单元</w:t>
            </w:r>
          </w:p>
        </w:tc>
        <w:tc>
          <w:tcPr>
            <w:tcW w:w="331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45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安全检查表</w:t>
            </w:r>
          </w:p>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危险度评价法</w:t>
            </w:r>
          </w:p>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重大事故后果分析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82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储运单元</w:t>
            </w:r>
          </w:p>
        </w:tc>
        <w:tc>
          <w:tcPr>
            <w:tcW w:w="331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45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安全检查表</w:t>
            </w:r>
          </w:p>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危险度评价法</w:t>
            </w:r>
          </w:p>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重大事故后果分析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2829" w:type="dxa"/>
            <w:vMerge w:val="restart"/>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公用工程及辅助单元</w:t>
            </w:r>
          </w:p>
        </w:tc>
        <w:tc>
          <w:tcPr>
            <w:tcW w:w="331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供配电子单元</w:t>
            </w:r>
          </w:p>
        </w:tc>
        <w:tc>
          <w:tcPr>
            <w:tcW w:w="2451" w:type="dxa"/>
            <w:tcBorders>
              <w:top w:val="single" w:color="auto" w:sz="8" w:space="0"/>
              <w:left w:val="single" w:color="auto" w:sz="8" w:space="0"/>
              <w:bottom w:val="single" w:color="auto" w:sz="8" w:space="0"/>
              <w:right w:val="single" w:color="auto" w:sz="8" w:space="0"/>
            </w:tcBorders>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安全检查表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p>
        </w:tc>
        <w:tc>
          <w:tcPr>
            <w:tcW w:w="2829" w:type="dxa"/>
            <w:vMerge w:val="continue"/>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p>
        </w:tc>
        <w:tc>
          <w:tcPr>
            <w:tcW w:w="331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电气及仪表自动化单元</w:t>
            </w:r>
          </w:p>
        </w:tc>
        <w:tc>
          <w:tcPr>
            <w:tcW w:w="2451" w:type="dxa"/>
            <w:tcBorders>
              <w:top w:val="single" w:color="auto" w:sz="8" w:space="0"/>
              <w:left w:val="single" w:color="auto" w:sz="8" w:space="0"/>
              <w:bottom w:val="single" w:color="auto" w:sz="8" w:space="0"/>
              <w:right w:val="single" w:color="auto" w:sz="8" w:space="0"/>
            </w:tcBorders>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安全检查表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p>
        </w:tc>
        <w:tc>
          <w:tcPr>
            <w:tcW w:w="2829" w:type="dxa"/>
            <w:vMerge w:val="continue"/>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p>
        </w:tc>
        <w:tc>
          <w:tcPr>
            <w:tcW w:w="331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空压子单元</w:t>
            </w:r>
          </w:p>
        </w:tc>
        <w:tc>
          <w:tcPr>
            <w:tcW w:w="2451" w:type="dxa"/>
            <w:tcBorders>
              <w:top w:val="single" w:color="auto" w:sz="8" w:space="0"/>
              <w:left w:val="single" w:color="auto" w:sz="8" w:space="0"/>
              <w:bottom w:val="single" w:color="auto" w:sz="8" w:space="0"/>
              <w:right w:val="single" w:color="auto" w:sz="8" w:space="0"/>
            </w:tcBorders>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安全检查表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p>
        </w:tc>
        <w:tc>
          <w:tcPr>
            <w:tcW w:w="2829" w:type="dxa"/>
            <w:vMerge w:val="continue"/>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p>
        </w:tc>
        <w:tc>
          <w:tcPr>
            <w:tcW w:w="331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特种设备单元</w:t>
            </w:r>
          </w:p>
        </w:tc>
        <w:tc>
          <w:tcPr>
            <w:tcW w:w="2451" w:type="dxa"/>
            <w:tcBorders>
              <w:top w:val="single" w:color="auto" w:sz="8" w:space="0"/>
              <w:left w:val="single" w:color="auto" w:sz="8" w:space="0"/>
              <w:bottom w:val="single" w:color="auto" w:sz="8" w:space="0"/>
              <w:right w:val="single" w:color="auto" w:sz="8" w:space="0"/>
            </w:tcBorders>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安全检查表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vMerge w:val="continue"/>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p>
        </w:tc>
        <w:tc>
          <w:tcPr>
            <w:tcW w:w="2829" w:type="dxa"/>
            <w:vMerge w:val="continue"/>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p>
        </w:tc>
        <w:tc>
          <w:tcPr>
            <w:tcW w:w="331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消防单元</w:t>
            </w:r>
          </w:p>
        </w:tc>
        <w:tc>
          <w:tcPr>
            <w:tcW w:w="2451" w:type="dxa"/>
            <w:tcBorders>
              <w:top w:val="single" w:color="auto" w:sz="8" w:space="0"/>
              <w:left w:val="single" w:color="auto" w:sz="8" w:space="0"/>
              <w:bottom w:val="single" w:color="auto" w:sz="8" w:space="0"/>
              <w:right w:val="single" w:color="auto" w:sz="8" w:space="0"/>
            </w:tcBorders>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安全检查表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6"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2829"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安全管理</w:t>
            </w:r>
          </w:p>
        </w:tc>
        <w:tc>
          <w:tcPr>
            <w:tcW w:w="331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451"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安全检查表</w:t>
            </w:r>
          </w:p>
        </w:tc>
      </w:tr>
    </w:tbl>
    <w:p>
      <w:pPr>
        <w:pStyle w:val="4"/>
        <w:rPr>
          <w:rFonts w:hint="default" w:ascii="Times New Roman" w:hAnsi="Times New Roman" w:cs="Times New Roman"/>
          <w:kern w:val="2"/>
        </w:rPr>
      </w:pPr>
      <w:bookmarkStart w:id="77" w:name="_Toc5882"/>
      <w:r>
        <w:rPr>
          <w:rFonts w:hint="default" w:ascii="Times New Roman" w:hAnsi="Times New Roman" w:cs="Times New Roman"/>
          <w:kern w:val="2"/>
          <w:lang w:val="en-US" w:eastAsia="zh-CN"/>
        </w:rPr>
        <w:t>6</w:t>
      </w:r>
      <w:r>
        <w:rPr>
          <w:rFonts w:hint="default" w:ascii="Times New Roman" w:hAnsi="Times New Roman" w:cs="Times New Roman"/>
          <w:kern w:val="2"/>
        </w:rPr>
        <w:t>.3采用评价方法简介</w:t>
      </w:r>
      <w:bookmarkEnd w:id="75"/>
      <w:bookmarkEnd w:id="76"/>
      <w:bookmarkEnd w:id="77"/>
    </w:p>
    <w:p>
      <w:pPr>
        <w:ind w:firstLine="560" w:firstLineChars="200"/>
        <w:rPr>
          <w:rFonts w:hint="default" w:ascii="Times New Roman" w:hAnsi="Times New Roman" w:cs="Times New Roman"/>
        </w:rPr>
      </w:pPr>
      <w:r>
        <w:rPr>
          <w:rFonts w:hint="default" w:ascii="Times New Roman" w:hAnsi="Times New Roman" w:cs="Times New Roman"/>
        </w:rPr>
        <w:t>根据企业的危险、有害因素及其类型，以及相关法规、标准的要求，对本企业采用安全检查表、危险度评价法、重大事故后果分析，见附件E.3：采用评价方法简介。</w:t>
      </w:r>
    </w:p>
    <w:p>
      <w:pPr>
        <w:pStyle w:val="3"/>
        <w:rPr>
          <w:rFonts w:hint="default" w:ascii="Times New Roman" w:hAnsi="Times New Roman" w:cs="Times New Roman"/>
        </w:rPr>
      </w:pPr>
      <w:bookmarkStart w:id="78" w:name="_Toc1252"/>
      <w:r>
        <w:rPr>
          <w:rFonts w:hint="default" w:ascii="Times New Roman" w:hAnsi="Times New Roman" w:cs="Times New Roman"/>
        </w:rPr>
        <w:t>7定性、定量评价结果</w:t>
      </w:r>
      <w:bookmarkEnd w:id="78"/>
    </w:p>
    <w:p>
      <w:pPr>
        <w:ind w:firstLine="560" w:firstLineChars="200"/>
        <w:rPr>
          <w:rFonts w:hint="default" w:ascii="Times New Roman" w:hAnsi="Times New Roman" w:cs="Times New Roman"/>
        </w:rPr>
      </w:pPr>
      <w:r>
        <w:rPr>
          <w:rFonts w:hint="default" w:ascii="Times New Roman" w:hAnsi="Times New Roman" w:cs="Times New Roman"/>
        </w:rPr>
        <w:t>根据《安全评价通则》（AQ8001-2007）及参照《危险化学品生产企业安全评价导则》（试行）的规定，采用安全检查表方法，对该</w:t>
      </w:r>
      <w:r>
        <w:rPr>
          <w:rFonts w:hint="eastAsia" w:cs="Times New Roman"/>
          <w:lang w:val="en-US" w:eastAsia="zh-CN"/>
        </w:rPr>
        <w:t>企业</w:t>
      </w:r>
      <w:r>
        <w:rPr>
          <w:rFonts w:hint="default" w:ascii="Times New Roman" w:hAnsi="Times New Roman" w:cs="Times New Roman"/>
        </w:rPr>
        <w:t>涉及危险化学品生产的场所进行现场检查和分析评价。依据相关法律法规、规章、标准、规范，分别对厂址及周边环境单元、总平面布置及建构筑物单元、工艺安全及设备设施单元、作业场所单元及安全生产管理等方面编制安全检查表进行检查评价。</w:t>
      </w:r>
    </w:p>
    <w:p>
      <w:pPr>
        <w:pStyle w:val="4"/>
        <w:rPr>
          <w:rFonts w:hint="default" w:ascii="Times New Roman" w:hAnsi="Times New Roman" w:eastAsia="楷体" w:cs="Times New Roman"/>
          <w:lang w:val="en-US" w:eastAsia="zh-CN"/>
        </w:rPr>
      </w:pPr>
      <w:bookmarkStart w:id="79" w:name="_Toc27362"/>
      <w:r>
        <w:rPr>
          <w:rFonts w:hint="default" w:ascii="Times New Roman" w:hAnsi="Times New Roman" w:cs="Times New Roman"/>
        </w:rPr>
        <w:t>7.1</w:t>
      </w:r>
      <w:r>
        <w:rPr>
          <w:rFonts w:hint="default" w:ascii="Times New Roman" w:hAnsi="Times New Roman" w:cs="Times New Roman"/>
          <w:lang w:val="en-US" w:eastAsia="zh-CN"/>
        </w:rPr>
        <w:t>定性评价结果</w:t>
      </w:r>
      <w:bookmarkEnd w:id="79"/>
    </w:p>
    <w:p>
      <w:pPr>
        <w:ind w:firstLine="560" w:firstLineChars="200"/>
        <w:rPr>
          <w:rFonts w:hint="default" w:ascii="Times New Roman" w:hAnsi="Times New Roman" w:cs="Times New Roman"/>
        </w:rPr>
      </w:pPr>
      <w:r>
        <w:rPr>
          <w:rFonts w:hint="default" w:ascii="Times New Roman" w:hAnsi="Times New Roman" w:cs="Times New Roman"/>
        </w:rPr>
        <w:t>各单元定性分析结果见表7.1-1，详细分析过程见附件C。</w:t>
      </w:r>
    </w:p>
    <w:p>
      <w:pPr>
        <w:jc w:val="center"/>
        <w:rPr>
          <w:rFonts w:hint="default" w:ascii="Times New Roman" w:hAnsi="Times New Roman" w:cs="Times New Roman"/>
        </w:rPr>
      </w:pPr>
      <w:r>
        <w:rPr>
          <w:rFonts w:hint="default" w:ascii="Times New Roman" w:hAnsi="Times New Roman" w:cs="Times New Roman"/>
        </w:rPr>
        <w:t>表7.1-1各单元定性分析结果一览表</w:t>
      </w:r>
    </w:p>
    <w:tbl>
      <w:tblPr>
        <w:tblStyle w:val="25"/>
        <w:tblW w:w="928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08"/>
        <w:gridCol w:w="847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08"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评价单元</w:t>
            </w:r>
          </w:p>
        </w:tc>
        <w:tc>
          <w:tcPr>
            <w:tcW w:w="8479" w:type="dxa"/>
            <w:vAlign w:val="center"/>
          </w:tcPr>
          <w:p>
            <w:pPr>
              <w:pStyle w:val="62"/>
              <w:widowControl w:val="0"/>
              <w:spacing w:line="300" w:lineRule="exact"/>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评价结果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08" w:type="dxa"/>
            <w:vAlign w:val="center"/>
          </w:tcPr>
          <w:p>
            <w:pPr>
              <w:spacing w:line="300" w:lineRule="exact"/>
              <w:jc w:val="left"/>
              <w:rPr>
                <w:rFonts w:hint="default" w:ascii="Times New Roman" w:hAnsi="Times New Roman" w:cs="Times New Roman"/>
                <w:sz w:val="21"/>
                <w:szCs w:val="21"/>
              </w:rPr>
            </w:pPr>
            <w:r>
              <w:rPr>
                <w:rFonts w:hint="default" w:ascii="Times New Roman" w:hAnsi="Times New Roman" w:cs="Times New Roman"/>
                <w:sz w:val="21"/>
                <w:szCs w:val="21"/>
              </w:rPr>
              <w:t>厂址与周边环境单元</w:t>
            </w:r>
          </w:p>
        </w:tc>
        <w:tc>
          <w:tcPr>
            <w:tcW w:w="8479" w:type="dxa"/>
          </w:tcPr>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根据</w:t>
            </w:r>
            <w:r>
              <w:rPr>
                <w:rFonts w:hint="default" w:ascii="Times New Roman" w:hAnsi="Times New Roman" w:cs="Times New Roman"/>
                <w:sz w:val="21"/>
                <w:szCs w:val="21"/>
                <w:lang w:eastAsia="zh-CN"/>
              </w:rPr>
              <w:t>上饶市广氟医药化工有限公司</w:t>
            </w:r>
            <w:r>
              <w:rPr>
                <w:rFonts w:hint="default" w:ascii="Times New Roman" w:hAnsi="Times New Roman" w:cs="Times New Roman"/>
                <w:sz w:val="21"/>
                <w:szCs w:val="21"/>
              </w:rPr>
              <w:t>所提供的资料和现场检查情况，</w:t>
            </w:r>
            <w:r>
              <w:rPr>
                <w:rFonts w:hint="default" w:ascii="Times New Roman" w:hAnsi="Times New Roman" w:cs="Times New Roman"/>
                <w:sz w:val="21"/>
                <w:szCs w:val="21"/>
                <w:lang w:eastAsia="zh-CN"/>
              </w:rPr>
              <w:t>上饶市广氟医药化工有限公司</w:t>
            </w:r>
            <w:r>
              <w:rPr>
                <w:rFonts w:hint="default" w:ascii="Times New Roman" w:hAnsi="Times New Roman" w:cs="Times New Roman"/>
                <w:sz w:val="21"/>
                <w:szCs w:val="21"/>
              </w:rPr>
              <w:t>的厂址及周边环境单元情况评价小结如下：</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1）</w:t>
            </w:r>
            <w:r>
              <w:rPr>
                <w:rFonts w:hint="eastAsia" w:cs="Times New Roman"/>
                <w:sz w:val="21"/>
                <w:szCs w:val="21"/>
                <w:lang w:val="en-US" w:eastAsia="zh-CN"/>
              </w:rPr>
              <w:t>该企业</w:t>
            </w:r>
            <w:r>
              <w:rPr>
                <w:rFonts w:hint="default" w:ascii="Times New Roman" w:hAnsi="Times New Roman" w:cs="Times New Roman"/>
                <w:sz w:val="21"/>
                <w:szCs w:val="21"/>
              </w:rPr>
              <w:t>的选址于</w:t>
            </w:r>
            <w:r>
              <w:rPr>
                <w:rFonts w:hint="eastAsia" w:cs="Times New Roman"/>
                <w:sz w:val="21"/>
                <w:szCs w:val="21"/>
                <w:lang w:eastAsia="zh-CN"/>
              </w:rPr>
              <w:t>上饶高新技术产业园区</w:t>
            </w:r>
            <w:r>
              <w:rPr>
                <w:rFonts w:hint="default" w:ascii="Times New Roman" w:hAnsi="Times New Roman" w:cs="Times New Roman"/>
                <w:sz w:val="21"/>
                <w:szCs w:val="21"/>
              </w:rPr>
              <w:t>内，符合当地的规划和布局，与周边企业无交叉污染。</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2）</w:t>
            </w:r>
            <w:r>
              <w:rPr>
                <w:rFonts w:hint="eastAsia" w:cs="Times New Roman"/>
                <w:sz w:val="21"/>
                <w:szCs w:val="21"/>
                <w:lang w:val="en-US" w:eastAsia="zh-CN"/>
              </w:rPr>
              <w:t>该企业</w:t>
            </w:r>
            <w:r>
              <w:rPr>
                <w:rFonts w:hint="default" w:ascii="Times New Roman" w:hAnsi="Times New Roman" w:cs="Times New Roman"/>
                <w:sz w:val="21"/>
                <w:szCs w:val="21"/>
              </w:rPr>
              <w:t>置建构筑物及与周边企业、环境敏感点等场所、设施间距符合要求，与周边企业、公路、铁路的距离符合相关法规、规章、标准的要求。</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3）</w:t>
            </w:r>
            <w:r>
              <w:rPr>
                <w:rFonts w:hint="eastAsia" w:cs="Times New Roman"/>
                <w:sz w:val="21"/>
                <w:szCs w:val="21"/>
                <w:lang w:val="en-US" w:eastAsia="zh-CN"/>
              </w:rPr>
              <w:t>该企业</w:t>
            </w:r>
            <w:r>
              <w:rPr>
                <w:rFonts w:hint="default" w:ascii="Times New Roman" w:hAnsi="Times New Roman" w:cs="Times New Roman"/>
                <w:sz w:val="21"/>
                <w:szCs w:val="21"/>
              </w:rPr>
              <w:t>厂址地质条件稳定，无不良地质现象，周围无名胜古迹及自然风景区，无已探明的具有开采价值的矿藏，无滑坡或泥石流现象。</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4）对该单元进行了25项检查，无不符合项。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08" w:type="dxa"/>
            <w:vAlign w:val="center"/>
          </w:tcPr>
          <w:p>
            <w:pPr>
              <w:spacing w:line="300" w:lineRule="exact"/>
              <w:jc w:val="left"/>
              <w:rPr>
                <w:rFonts w:hint="default" w:ascii="Times New Roman" w:hAnsi="Times New Roman" w:cs="Times New Roman"/>
                <w:sz w:val="21"/>
                <w:szCs w:val="21"/>
              </w:rPr>
            </w:pPr>
            <w:r>
              <w:rPr>
                <w:rFonts w:hint="default" w:ascii="Times New Roman" w:hAnsi="Times New Roman" w:cs="Times New Roman"/>
                <w:sz w:val="21"/>
                <w:szCs w:val="21"/>
              </w:rPr>
              <w:t>总平面布置与建构筑物单元</w:t>
            </w:r>
          </w:p>
        </w:tc>
        <w:tc>
          <w:tcPr>
            <w:tcW w:w="8479" w:type="dxa"/>
          </w:tcPr>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评价组根据上饶市广氟医药化工有限公司所提供的资料和现场检查情况，对该公司的总平面布置及建构筑物单元情况评价小结如下：</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1）</w:t>
            </w:r>
            <w:r>
              <w:rPr>
                <w:rFonts w:hint="eastAsia" w:cs="Times New Roman"/>
                <w:sz w:val="21"/>
                <w:szCs w:val="21"/>
                <w:lang w:val="en-US" w:eastAsia="zh-CN"/>
              </w:rPr>
              <w:t>该企业</w:t>
            </w:r>
            <w:r>
              <w:rPr>
                <w:rFonts w:hint="default" w:ascii="Times New Roman" w:hAnsi="Times New Roman" w:cs="Times New Roman"/>
                <w:sz w:val="21"/>
                <w:szCs w:val="21"/>
              </w:rPr>
              <w:t>总平面布置按功能分区，各建构筑物之间合理的通道分开。设备设施的布置紧凑、合理，建构筑物外形规整。生产车间与民用建筑之间的距离远大于25m。</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2）</w:t>
            </w:r>
            <w:r>
              <w:rPr>
                <w:rFonts w:hint="eastAsia" w:cs="Times New Roman"/>
                <w:sz w:val="21"/>
                <w:szCs w:val="21"/>
                <w:lang w:val="en-US" w:eastAsia="zh-CN"/>
              </w:rPr>
              <w:t>该企业</w:t>
            </w:r>
            <w:r>
              <w:rPr>
                <w:rFonts w:hint="default" w:ascii="Times New Roman" w:hAnsi="Times New Roman" w:cs="Times New Roman"/>
                <w:sz w:val="21"/>
                <w:szCs w:val="21"/>
              </w:rPr>
              <w:t>设有货流口、人流出入口，符合人流、物流分开布置要求。厂内道路布置满足生产、运输要求；与建筑物轴线平行或垂直，沿车间呈环行布置。总体布局符合《工业企业总平面设计规范》（GB50187-2012）要求。</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3）</w:t>
            </w:r>
            <w:r>
              <w:rPr>
                <w:rFonts w:hint="eastAsia" w:cs="Times New Roman"/>
                <w:sz w:val="21"/>
                <w:szCs w:val="21"/>
                <w:lang w:eastAsia="zh-CN"/>
              </w:rPr>
              <w:t>该企业总平面按功能分区布置，</w:t>
            </w:r>
            <w:r>
              <w:rPr>
                <w:rFonts w:hint="default" w:ascii="Times New Roman" w:hAnsi="Times New Roman" w:cs="Times New Roman"/>
                <w:sz w:val="21"/>
                <w:szCs w:val="21"/>
              </w:rPr>
              <w:t>各功能区内部布置紧凑、合理并与相邻功能区相协调，物流输送、动力供应便捷合理。建筑物具有良好的朝向和自然通风；变、配电所未设置在爆炸性气体、粉尘环境的危险区域内。</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4）酸碱管道采用地上敷设，未穿越与其无关的建筑物、构筑物、生产车间、辅助生产及仓储设施等；无架空电力线路跨越。</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5）</w:t>
            </w:r>
            <w:r>
              <w:rPr>
                <w:rFonts w:hint="eastAsia" w:cs="Times New Roman"/>
                <w:sz w:val="21"/>
                <w:szCs w:val="21"/>
                <w:lang w:eastAsia="zh-CN"/>
              </w:rPr>
              <w:t>该企业生产车间耐火等级不低于二级</w:t>
            </w:r>
            <w:r>
              <w:rPr>
                <w:rFonts w:hint="default" w:ascii="Times New Roman" w:hAnsi="Times New Roman" w:cs="Times New Roman"/>
                <w:sz w:val="21"/>
                <w:szCs w:val="21"/>
              </w:rPr>
              <w:t>，建筑面积及防火分区符合要求。</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6）</w:t>
            </w:r>
            <w:r>
              <w:rPr>
                <w:rFonts w:hint="eastAsia" w:cs="Times New Roman"/>
                <w:sz w:val="21"/>
                <w:szCs w:val="21"/>
                <w:lang w:eastAsia="zh-CN"/>
              </w:rPr>
              <w:t>该企业建构筑物抗震设防烈为6度</w:t>
            </w:r>
            <w:r>
              <w:rPr>
                <w:rFonts w:hint="default" w:ascii="Times New Roman" w:hAnsi="Times New Roman" w:cs="Times New Roman"/>
                <w:sz w:val="21"/>
                <w:szCs w:val="21"/>
              </w:rPr>
              <w:t>，符合《建筑抗震设计规范》和《构筑物抗震设计规范》要求。</w:t>
            </w:r>
          </w:p>
          <w:p>
            <w:pPr>
              <w:spacing w:line="240" w:lineRule="auto"/>
              <w:ind w:firstLine="420" w:firstLineChars="200"/>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7）对该单元进行了30项现场检查，无不符合项。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0" w:hRule="atLeast"/>
          <w:jc w:val="center"/>
        </w:trPr>
        <w:tc>
          <w:tcPr>
            <w:tcW w:w="808" w:type="dxa"/>
            <w:vAlign w:val="center"/>
          </w:tcPr>
          <w:p>
            <w:pPr>
              <w:spacing w:line="300" w:lineRule="exact"/>
              <w:jc w:val="left"/>
              <w:rPr>
                <w:rFonts w:hint="default" w:ascii="Times New Roman" w:hAnsi="Times New Roman" w:cs="Times New Roman"/>
                <w:sz w:val="21"/>
                <w:szCs w:val="21"/>
              </w:rPr>
            </w:pPr>
            <w:r>
              <w:rPr>
                <w:rFonts w:hint="default" w:ascii="Times New Roman" w:hAnsi="Times New Roman" w:cs="Times New Roman"/>
                <w:sz w:val="21"/>
                <w:szCs w:val="21"/>
              </w:rPr>
              <w:t>生产工艺装置单元</w:t>
            </w:r>
          </w:p>
          <w:p>
            <w:pPr>
              <w:spacing w:line="300" w:lineRule="exact"/>
              <w:jc w:val="left"/>
              <w:rPr>
                <w:rFonts w:hint="default" w:ascii="Times New Roman" w:hAnsi="Times New Roman" w:cs="Times New Roman"/>
                <w:sz w:val="21"/>
                <w:szCs w:val="21"/>
              </w:rPr>
            </w:pPr>
          </w:p>
        </w:tc>
        <w:tc>
          <w:tcPr>
            <w:tcW w:w="8479" w:type="dxa"/>
            <w:vAlign w:val="center"/>
          </w:tcPr>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1.安全检查表</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评价组根据上饶市广氟医药化工有限公司所提供的资料和现场检查情况，对该公司的生产工艺装置单元情况评价小结如下：</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1）该公司生产采用危害较小的工艺、技术、设备，不属于国家明令淘汰、禁止使用的工艺、设备。</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2）作业场所设有安全通道和出口，门窗向外开启。</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3）生产设备设有必要的安全防护装置。</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4）设备布置可保证作业场所有足够空间，并保证作业场所畅通，避免交叉作业。</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5）各生产车间设置有自然通风、机械排风。</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6）企业根据设备运行情况，规定设备检修周期和维修标准，并严格执行；检修设备的施工单位制定了安全技术措施。</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7）</w:t>
            </w:r>
            <w:r>
              <w:rPr>
                <w:rFonts w:hint="eastAsia" w:cs="Times New Roman"/>
                <w:sz w:val="21"/>
                <w:szCs w:val="21"/>
                <w:lang w:eastAsia="zh-CN"/>
              </w:rPr>
              <w:t>对该单元进行了52项现场检查，5项不符合要求</w:t>
            </w:r>
            <w:r>
              <w:rPr>
                <w:rFonts w:hint="default" w:ascii="Times New Roman" w:hAnsi="Times New Roman" w:cs="Times New Roman"/>
                <w:sz w:val="21"/>
                <w:szCs w:val="21"/>
              </w:rPr>
              <w:t>：</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①紧急通道和出入口未设置醒目的标志。</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②未为操作人员提供自吸过滤式防毒面具。</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③部分管线未设防止物料外泄或喷溅的措施。</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④201原料罐区有毒气体检测报警器不能覆盖所有释放源。</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⑤101生产车间的地面腐蚀严重，未进行防腐处理。</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2.危险度分析</w:t>
            </w:r>
          </w:p>
          <w:p>
            <w:pPr>
              <w:spacing w:line="240" w:lineRule="auto"/>
              <w:ind w:firstLine="420" w:firstLineChars="200"/>
              <w:rPr>
                <w:rFonts w:hint="default" w:ascii="Times New Roman" w:hAnsi="Times New Roman" w:cs="Times New Roman"/>
                <w:sz w:val="21"/>
                <w:szCs w:val="21"/>
              </w:rPr>
            </w:pPr>
            <w:r>
              <w:rPr>
                <w:rFonts w:hint="eastAsia" w:cs="Times New Roman"/>
                <w:sz w:val="21"/>
                <w:szCs w:val="21"/>
                <w:lang w:eastAsia="zh-CN"/>
              </w:rPr>
              <w:t>该企业101-105生产车间的分值均在10分以下</w:t>
            </w:r>
            <w:r>
              <w:rPr>
                <w:rFonts w:hint="default" w:ascii="Times New Roman" w:hAnsi="Times New Roman" w:cs="Times New Roman"/>
                <w:sz w:val="21"/>
                <w:szCs w:val="21"/>
              </w:rPr>
              <w:t>，危险程度等级为Ⅲ级（低度危险）。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08"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储运单元</w:t>
            </w:r>
          </w:p>
        </w:tc>
        <w:tc>
          <w:tcPr>
            <w:tcW w:w="8479" w:type="dxa"/>
          </w:tcPr>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1.安全检查表</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评价组根据上饶市广氟医药化工有限公司所提供的资料和现场检查情况，对</w:t>
            </w:r>
            <w:r>
              <w:rPr>
                <w:rFonts w:hint="eastAsia" w:cs="Times New Roman"/>
                <w:sz w:val="21"/>
                <w:szCs w:val="21"/>
                <w:lang w:eastAsia="zh-CN"/>
              </w:rPr>
              <w:t>该企业的储存单元情况评价小结如下</w:t>
            </w:r>
            <w:r>
              <w:rPr>
                <w:rFonts w:hint="default" w:ascii="Times New Roman" w:hAnsi="Times New Roman" w:cs="Times New Roman"/>
                <w:sz w:val="21"/>
                <w:szCs w:val="21"/>
              </w:rPr>
              <w:t>：</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1）</w:t>
            </w:r>
            <w:r>
              <w:rPr>
                <w:rFonts w:hint="eastAsia" w:cs="Times New Roman"/>
                <w:sz w:val="21"/>
                <w:szCs w:val="21"/>
                <w:lang w:eastAsia="zh-CN"/>
              </w:rPr>
              <w:t>该企业根据化学品的性质、危害程度和储存量</w:t>
            </w:r>
            <w:r>
              <w:rPr>
                <w:rFonts w:hint="default" w:ascii="Times New Roman" w:hAnsi="Times New Roman" w:cs="Times New Roman"/>
                <w:sz w:val="21"/>
                <w:szCs w:val="21"/>
              </w:rPr>
              <w:t>，设置专业仓库、罐区储存场（所）；</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2）储罐区与装卸区、辅助生产区及办公区分开布置；设置不燃性防火堤。</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3）该</w:t>
            </w:r>
            <w:r>
              <w:rPr>
                <w:rFonts w:hint="eastAsia" w:cs="Times New Roman"/>
                <w:sz w:val="21"/>
                <w:szCs w:val="21"/>
                <w:lang w:val="en-US" w:eastAsia="zh-CN"/>
              </w:rPr>
              <w:t>企业</w:t>
            </w:r>
            <w:r>
              <w:rPr>
                <w:rFonts w:hint="default" w:ascii="Times New Roman" w:hAnsi="Times New Roman" w:cs="Times New Roman"/>
                <w:sz w:val="21"/>
                <w:szCs w:val="21"/>
              </w:rPr>
              <w:t>库存物品当分类、分垛储存。仓库干燥、易于通风、密封和避光，并安装避雷装置；安装了可燃气体报警装置。</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4）储罐区与装卸区、辅助生产区及办公区分开布置。储罐的基础、防火堤、隔堤，均为混凝土结构。</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5）储罐区设置安全标志，同时设置危险危害告知牌。</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6）对该单元进行了29项现场检查，无不符合项。</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2.危险度</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各仓库和罐区的危险度分值低于10分，属于低度危险。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08" w:type="dxa"/>
            <w:vAlign w:val="center"/>
          </w:tcPr>
          <w:p>
            <w:pPr>
              <w:spacing w:line="300" w:lineRule="exact"/>
              <w:jc w:val="left"/>
              <w:rPr>
                <w:rFonts w:hint="default" w:ascii="Times New Roman" w:hAnsi="Times New Roman" w:cs="Times New Roman"/>
                <w:sz w:val="21"/>
                <w:szCs w:val="21"/>
              </w:rPr>
            </w:pPr>
            <w:r>
              <w:rPr>
                <w:rFonts w:hint="default" w:ascii="Times New Roman" w:hAnsi="Times New Roman" w:cs="Times New Roman"/>
                <w:sz w:val="21"/>
                <w:szCs w:val="21"/>
              </w:rPr>
              <w:t>公用工程及辅助设施单元</w:t>
            </w:r>
          </w:p>
        </w:tc>
        <w:tc>
          <w:tcPr>
            <w:tcW w:w="8479" w:type="dxa"/>
            <w:vAlign w:val="center"/>
          </w:tcPr>
          <w:p>
            <w:pPr>
              <w:spacing w:line="300" w:lineRule="exact"/>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评价组根据</w:t>
            </w:r>
            <w:r>
              <w:rPr>
                <w:rFonts w:hint="default" w:ascii="Times New Roman" w:hAnsi="Times New Roman" w:cs="Times New Roman"/>
                <w:sz w:val="21"/>
                <w:szCs w:val="21"/>
                <w:lang w:eastAsia="zh-CN"/>
              </w:rPr>
              <w:t>上饶市广氟医药化工有限公司</w:t>
            </w:r>
            <w:r>
              <w:rPr>
                <w:rFonts w:hint="default" w:ascii="Times New Roman" w:hAnsi="Times New Roman" w:cs="Times New Roman"/>
                <w:sz w:val="21"/>
                <w:szCs w:val="21"/>
              </w:rPr>
              <w:t>所提供的资料和现场检查情况，对该公司公用工程及辅助单元情况评价小结如下：</w:t>
            </w:r>
          </w:p>
          <w:p>
            <w:pPr>
              <w:spacing w:line="300" w:lineRule="exact"/>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（一）供配电子单元</w:t>
            </w:r>
          </w:p>
          <w:p>
            <w:pPr>
              <w:spacing w:line="300" w:lineRule="exact"/>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对该单元采用安全检查表法分析，共进行了26项内容的检查分析，存在1项不符合项：存在电缆线路未固定的情况。</w:t>
            </w:r>
          </w:p>
          <w:p>
            <w:pPr>
              <w:spacing w:line="300" w:lineRule="exact"/>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（二）电气及仪表自动化单元</w:t>
            </w:r>
          </w:p>
          <w:p>
            <w:pPr>
              <w:spacing w:line="300" w:lineRule="exact"/>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对该单元采用安全检查表法分析，共进行了28项内容的检查分析，无不符合项。</w:t>
            </w:r>
          </w:p>
          <w:p>
            <w:pPr>
              <w:spacing w:line="300" w:lineRule="exact"/>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依据《江西省化工企业自动化提升实施方案》（试行）赣应急字[2021]190号检查，</w:t>
            </w:r>
            <w:r>
              <w:rPr>
                <w:rFonts w:hint="eastAsia" w:cs="Times New Roman"/>
                <w:sz w:val="21"/>
                <w:szCs w:val="21"/>
                <w:lang w:eastAsia="zh-CN"/>
              </w:rPr>
              <w:t>该公司有6项未完全落实方案要求</w:t>
            </w:r>
            <w:r>
              <w:rPr>
                <w:rFonts w:hint="default" w:ascii="Times New Roman" w:hAnsi="Times New Roman" w:cs="Times New Roman"/>
                <w:sz w:val="21"/>
                <w:szCs w:val="21"/>
              </w:rPr>
              <w:t>，需整改，其他检查项满足要求。需整改项为：①装置高位槽未设置高高液位联锁切断进料或设溢流管道；②氢氟酸进料切断阀选用电动阀；③氟硅酸储罐、氟硼酸、(10~20%)有水氢氟酸中间罐、碱液罐未设置高低液位报警；④201原料罐区有毒气体检测报警器不能覆盖所有释放源；⑤有毒气体报警器信号上传至控制室PLC系统，未设置独立的气体报警系统；⑥控制室内未按设计要求设置防静电地板，静电接地设置不完善。</w:t>
            </w:r>
          </w:p>
          <w:p>
            <w:pPr>
              <w:spacing w:line="300" w:lineRule="exact"/>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（三）空压单元</w:t>
            </w:r>
          </w:p>
          <w:p>
            <w:pPr>
              <w:spacing w:line="300" w:lineRule="exact"/>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对该单元采用安全检查表法分析，共进行了15项内容的检查分析，全部符合要求。</w:t>
            </w:r>
          </w:p>
          <w:p>
            <w:pPr>
              <w:spacing w:line="300" w:lineRule="exact"/>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（四）特种设备单元</w:t>
            </w:r>
          </w:p>
          <w:p>
            <w:pPr>
              <w:spacing w:line="300" w:lineRule="exact"/>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1）该公司在用的压力容器（包括安全附件安全阀、压力表）都是由有资质的单位进行设计、制作和安装，有特种设备的设计文件、制造单位、产品质量合格证明、使用维护说明等文件以及安装技术文件和资料，符合《特种设备安全法》的要求。</w:t>
            </w:r>
          </w:p>
          <w:p>
            <w:pPr>
              <w:spacing w:line="300" w:lineRule="exact"/>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2）该公司已对特种设备作业人员进行特种设备安全教育和培训，保证特种设备作业人员具备必要的特种设备安全作业知识，制定特种设备的操作规程和有关的安全规章制度，符合《特种设备安全法》的要求。</w:t>
            </w:r>
          </w:p>
          <w:p>
            <w:pPr>
              <w:spacing w:line="300" w:lineRule="exact"/>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3）该公司已配备技术负责人对特种设备的安全技术管理负责，工程技术人员负责安全技术管理工作，符合《特种设备》的要求。</w:t>
            </w:r>
          </w:p>
          <w:p>
            <w:pPr>
              <w:spacing w:line="300" w:lineRule="exact"/>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4）对该单元共进行了17项检查，符合要求。</w:t>
            </w:r>
          </w:p>
          <w:p>
            <w:pPr>
              <w:spacing w:line="300" w:lineRule="exact"/>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（五）消防单元</w:t>
            </w:r>
          </w:p>
          <w:p>
            <w:pPr>
              <w:spacing w:line="300" w:lineRule="exact"/>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对该单元采用安全检查表法分析，共进行了21项内容的检查分析，1项不符合项：105烘干车间未设置灭火器。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808" w:type="dxa"/>
            <w:vAlign w:val="center"/>
          </w:tcPr>
          <w:p>
            <w:pPr>
              <w:spacing w:line="300" w:lineRule="exact"/>
              <w:jc w:val="left"/>
              <w:rPr>
                <w:rFonts w:hint="default" w:ascii="Times New Roman" w:hAnsi="Times New Roman" w:cs="Times New Roman"/>
                <w:sz w:val="21"/>
                <w:szCs w:val="21"/>
              </w:rPr>
            </w:pPr>
            <w:r>
              <w:rPr>
                <w:rFonts w:hint="default" w:ascii="Times New Roman" w:hAnsi="Times New Roman" w:cs="Times New Roman"/>
                <w:sz w:val="21"/>
                <w:szCs w:val="21"/>
              </w:rPr>
              <w:t>安全管理单元</w:t>
            </w:r>
          </w:p>
        </w:tc>
        <w:tc>
          <w:tcPr>
            <w:tcW w:w="8479" w:type="dxa"/>
          </w:tcPr>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评价组根据</w:t>
            </w:r>
            <w:r>
              <w:rPr>
                <w:rFonts w:hint="default" w:ascii="Times New Roman" w:hAnsi="Times New Roman" w:cs="Times New Roman"/>
                <w:sz w:val="21"/>
                <w:szCs w:val="21"/>
                <w:lang w:eastAsia="zh-CN"/>
              </w:rPr>
              <w:t>上饶市广氟医药化工有限公司</w:t>
            </w:r>
            <w:r>
              <w:rPr>
                <w:rFonts w:hint="default" w:ascii="Times New Roman" w:hAnsi="Times New Roman" w:cs="Times New Roman"/>
                <w:sz w:val="21"/>
                <w:szCs w:val="21"/>
              </w:rPr>
              <w:t>所提供的资料和现场检查情况，</w:t>
            </w:r>
            <w:r>
              <w:rPr>
                <w:rFonts w:hint="eastAsia" w:cs="Times New Roman"/>
                <w:sz w:val="21"/>
                <w:szCs w:val="21"/>
                <w:lang w:eastAsia="zh-CN"/>
              </w:rPr>
              <w:t>对该企业的安全管理单元进行了评价</w:t>
            </w:r>
            <w:r>
              <w:rPr>
                <w:rFonts w:hint="default" w:ascii="Times New Roman" w:hAnsi="Times New Roman" w:cs="Times New Roman"/>
                <w:sz w:val="21"/>
                <w:szCs w:val="21"/>
              </w:rPr>
              <w:t>，小结如下：</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评价组根据上饶市广氟医药化工有限公司所提供的资料和现场检查情况，</w:t>
            </w:r>
            <w:r>
              <w:rPr>
                <w:rFonts w:hint="eastAsia" w:cs="Times New Roman"/>
                <w:sz w:val="21"/>
                <w:szCs w:val="21"/>
                <w:lang w:eastAsia="zh-CN"/>
              </w:rPr>
              <w:t>对该企业的安全管理单元进行了评价</w:t>
            </w:r>
            <w:r>
              <w:rPr>
                <w:rFonts w:hint="default" w:ascii="Times New Roman" w:hAnsi="Times New Roman" w:cs="Times New Roman"/>
                <w:sz w:val="21"/>
                <w:szCs w:val="21"/>
              </w:rPr>
              <w:t>，小结如下：</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1）该公司对从业人员进行了安全生产教育和培训，并经考核，合格方准许上岗，能够熟练掌握本专业及本岗位的生产技能。</w:t>
            </w:r>
          </w:p>
          <w:p>
            <w:pPr>
              <w:spacing w:line="240" w:lineRule="auto"/>
              <w:ind w:firstLine="396" w:firstLineChars="200"/>
              <w:rPr>
                <w:rFonts w:hint="default" w:ascii="Times New Roman" w:hAnsi="Times New Roman" w:cs="Times New Roman"/>
                <w:spacing w:val="-6"/>
                <w:sz w:val="21"/>
                <w:szCs w:val="21"/>
              </w:rPr>
            </w:pPr>
            <w:r>
              <w:rPr>
                <w:rFonts w:hint="default" w:ascii="Times New Roman" w:hAnsi="Times New Roman" w:cs="Times New Roman"/>
                <w:spacing w:val="-6"/>
                <w:sz w:val="21"/>
                <w:szCs w:val="21"/>
              </w:rPr>
              <w:t>2）该公司按照国家规定提取与安全生产有关的费用，并保证安全生产所必须的资金投入。</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3）该公司向从业人员告知作业场所和工作岗位存在的危险因素、防范措施以及事故应急措施，并开展教育培训工作。</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4）该公司依法设置安全生产管理机构，配备专职安全生产管理人员。企业主要负责人、分管安全负责人和安全生产管理人员依法参加安全生产培训，并取证。</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5）该公司依法参加工伤社会保险，为从业人员缴纳保险费。</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6）</w:t>
            </w:r>
            <w:r>
              <w:rPr>
                <w:rFonts w:hint="eastAsia" w:cs="Times New Roman"/>
                <w:sz w:val="21"/>
                <w:szCs w:val="21"/>
                <w:lang w:eastAsia="zh-CN"/>
              </w:rPr>
              <w:t>该企业不存在重大生产安全事故隐患</w:t>
            </w:r>
            <w:r>
              <w:rPr>
                <w:rFonts w:hint="default" w:ascii="Times New Roman" w:hAnsi="Times New Roman" w:cs="Times New Roman"/>
                <w:sz w:val="21"/>
                <w:szCs w:val="21"/>
              </w:rPr>
              <w:t>。</w:t>
            </w:r>
          </w:p>
          <w:p>
            <w:pPr>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7）对本单元进行75项检查，存在</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项不符合项：</w:t>
            </w:r>
            <w:r>
              <w:rPr>
                <w:rFonts w:hint="default" w:ascii="Times New Roman" w:hAnsi="Times New Roman" w:cs="Times New Roman"/>
                <w:sz w:val="21"/>
                <w:szCs w:val="21"/>
                <w:lang w:val="en-US" w:eastAsia="zh-CN"/>
              </w:rPr>
              <w:t>①</w:t>
            </w:r>
            <w:r>
              <w:rPr>
                <w:rFonts w:hint="default" w:ascii="Times New Roman" w:hAnsi="Times New Roman" w:cs="Times New Roman"/>
                <w:sz w:val="21"/>
                <w:szCs w:val="21"/>
              </w:rPr>
              <w:t>未配备注册安全工程师</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②岗位操作规程不完善</w:t>
            </w:r>
            <w:r>
              <w:rPr>
                <w:rFonts w:hint="default" w:ascii="Times New Roman" w:hAnsi="Times New Roman" w:cs="Times New Roman"/>
                <w:sz w:val="21"/>
                <w:szCs w:val="21"/>
              </w:rPr>
              <w:t>。</w:t>
            </w:r>
          </w:p>
        </w:tc>
      </w:tr>
    </w:tbl>
    <w:p>
      <w:pPr>
        <w:pStyle w:val="4"/>
        <w:rPr>
          <w:rFonts w:hint="default" w:ascii="Times New Roman" w:hAnsi="Times New Roman" w:cs="Times New Roman"/>
        </w:rPr>
      </w:pPr>
      <w:bookmarkStart w:id="80" w:name="_Toc13282"/>
      <w:r>
        <w:rPr>
          <w:rFonts w:hint="default" w:ascii="Times New Roman" w:hAnsi="Times New Roman" w:cs="Times New Roman"/>
        </w:rPr>
        <w:t>7.2定量评价结果</w:t>
      </w:r>
      <w:bookmarkEnd w:id="80"/>
    </w:p>
    <w:p>
      <w:pPr>
        <w:ind w:firstLine="560" w:firstLineChars="200"/>
        <w:rPr>
          <w:rFonts w:hint="default" w:ascii="Times New Roman" w:hAnsi="Times New Roman" w:eastAsia="宋体" w:cs="Times New Roman"/>
          <w:lang w:val="en-US" w:eastAsia="zh-CN"/>
        </w:rPr>
      </w:pPr>
      <w:r>
        <w:rPr>
          <w:rFonts w:hint="default" w:ascii="Times New Roman" w:hAnsi="Times New Roman" w:cs="Times New Roman"/>
        </w:rPr>
        <w:t>危险度评价结果分析：该</w:t>
      </w:r>
      <w:r>
        <w:rPr>
          <w:rFonts w:hint="eastAsia" w:cs="Times New Roman"/>
          <w:lang w:val="en-US" w:eastAsia="zh-CN"/>
        </w:rPr>
        <w:t>企业</w:t>
      </w:r>
      <w:r>
        <w:rPr>
          <w:rFonts w:hint="default" w:ascii="Times New Roman" w:hAnsi="Times New Roman" w:cs="Times New Roman"/>
        </w:rPr>
        <w:t>101-105生产车间</w:t>
      </w:r>
      <w:r>
        <w:rPr>
          <w:rFonts w:hint="default" w:ascii="Times New Roman" w:hAnsi="Times New Roman" w:cs="Times New Roman"/>
          <w:lang w:eastAsia="zh-CN"/>
        </w:rPr>
        <w:t>、</w:t>
      </w:r>
      <w:r>
        <w:rPr>
          <w:rFonts w:hint="default" w:ascii="Times New Roman" w:hAnsi="Times New Roman" w:cs="Times New Roman"/>
        </w:rPr>
        <w:t>各仓库和罐区的危险度分值均在10分以下，危险程度等级为Ⅲ级（低度危险）</w:t>
      </w:r>
      <w:r>
        <w:rPr>
          <w:rFonts w:hint="default" w:ascii="Times New Roman" w:hAnsi="Times New Roman" w:cs="Times New Roman"/>
          <w:lang w:eastAsia="zh-CN"/>
        </w:rPr>
        <w:t>。</w:t>
      </w:r>
    </w:p>
    <w:p>
      <w:pPr>
        <w:ind w:firstLine="560" w:firstLineChars="200"/>
        <w:rPr>
          <w:rFonts w:hint="default" w:ascii="Times New Roman" w:hAnsi="Times New Roman" w:cs="Times New Roman"/>
        </w:rPr>
      </w:pPr>
      <w:r>
        <w:rPr>
          <w:rFonts w:hint="default" w:ascii="Times New Roman" w:hAnsi="Times New Roman" w:cs="Times New Roman"/>
        </w:rPr>
        <w:t>重大事故后果模拟分析：根据重大危险源区域定量风险评价软件计算该建设项目的重大事故后果，详见附表D-1。</w:t>
      </w:r>
    </w:p>
    <w:p>
      <w:pPr>
        <w:pStyle w:val="4"/>
        <w:rPr>
          <w:rFonts w:hint="default" w:ascii="Times New Roman" w:hAnsi="Times New Roman" w:cs="Times New Roman"/>
          <w:lang w:val="en-US" w:eastAsia="zh-CN"/>
        </w:rPr>
      </w:pPr>
      <w:bookmarkStart w:id="81" w:name="_Toc2405"/>
      <w:r>
        <w:rPr>
          <w:rFonts w:hint="default" w:ascii="Times New Roman" w:hAnsi="Times New Roman" w:cs="Times New Roman"/>
          <w:lang w:val="en-US" w:eastAsia="zh-CN"/>
        </w:rPr>
        <w:t>7.3重大危险源辨识结果</w:t>
      </w:r>
      <w:bookmarkEnd w:id="81"/>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根据《危险化学品重大危险源辨识》GB18218-2018，对上饶市广氟医药化工有限公司厂区涉及的危险化学品进行重大危险源辨识及分析。</w:t>
      </w:r>
    </w:p>
    <w:p>
      <w:pPr>
        <w:spacing w:line="360" w:lineRule="auto"/>
        <w:ind w:firstLine="560" w:firstLineChars="200"/>
        <w:jc w:val="center"/>
        <w:rPr>
          <w:rFonts w:hint="default" w:ascii="Times New Roman" w:hAnsi="Times New Roman" w:cs="Times New Roman"/>
          <w:sz w:val="28"/>
          <w:szCs w:val="28"/>
        </w:rPr>
      </w:pPr>
      <w:r>
        <w:rPr>
          <w:rFonts w:hint="default" w:ascii="Times New Roman" w:hAnsi="Times New Roman" w:cs="Times New Roman"/>
          <w:sz w:val="28"/>
          <w:szCs w:val="28"/>
        </w:rPr>
        <w:t>表7-2 企业生产/储存区域危险化学品重大危险源辨识表</w:t>
      </w:r>
    </w:p>
    <w:tbl>
      <w:tblPr>
        <w:tblStyle w:val="25"/>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526"/>
        <w:gridCol w:w="2343"/>
        <w:gridCol w:w="341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526" w:type="dxa"/>
            <w:vAlign w:val="center"/>
          </w:tcPr>
          <w:p>
            <w:pPr>
              <w:spacing w:line="24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单元名称</w:t>
            </w:r>
          </w:p>
        </w:tc>
        <w:tc>
          <w:tcPr>
            <w:tcW w:w="2343" w:type="dxa"/>
            <w:vAlign w:val="center"/>
          </w:tcPr>
          <w:p>
            <w:pPr>
              <w:spacing w:line="24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zh-CN"/>
              </w:rPr>
              <w:t>∑ q/Q</w:t>
            </w:r>
          </w:p>
        </w:tc>
        <w:tc>
          <w:tcPr>
            <w:tcW w:w="3418" w:type="dxa"/>
            <w:vAlign w:val="center"/>
          </w:tcPr>
          <w:p>
            <w:pPr>
              <w:spacing w:line="24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危险化学品重大危险源级别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287" w:type="dxa"/>
            <w:gridSpan w:val="3"/>
            <w:vAlign w:val="center"/>
          </w:tcPr>
          <w:p>
            <w:pPr>
              <w:spacing w:line="24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生产单元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526" w:type="dxa"/>
            <w:vAlign w:val="center"/>
          </w:tcPr>
          <w:p>
            <w:pPr>
              <w:spacing w:line="240" w:lineRule="auto"/>
              <w:ind w:firstLine="420" w:firstLineChars="200"/>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101生产车间一</w:t>
            </w:r>
          </w:p>
        </w:tc>
        <w:tc>
          <w:tcPr>
            <w:tcW w:w="2343" w:type="dxa"/>
            <w:vAlign w:val="center"/>
          </w:tcPr>
          <w:p>
            <w:pPr>
              <w:spacing w:line="240" w:lineRule="auto"/>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0.0</w:t>
            </w:r>
            <w:r>
              <w:rPr>
                <w:rFonts w:hint="default" w:ascii="Times New Roman" w:hAnsi="Times New Roman" w:eastAsia="宋体" w:cs="Times New Roman"/>
                <w:sz w:val="21"/>
                <w:szCs w:val="21"/>
                <w:lang w:val="en-US" w:eastAsia="zh-CN"/>
              </w:rPr>
              <w:t>8</w:t>
            </w:r>
          </w:p>
        </w:tc>
        <w:tc>
          <w:tcPr>
            <w:tcW w:w="3418" w:type="dxa"/>
            <w:vAlign w:val="center"/>
          </w:tcPr>
          <w:p>
            <w:pPr>
              <w:spacing w:line="24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不构成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526" w:type="dxa"/>
            <w:vAlign w:val="center"/>
          </w:tcPr>
          <w:p>
            <w:pPr>
              <w:spacing w:line="240" w:lineRule="auto"/>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102生产车间二 </w:t>
            </w:r>
          </w:p>
        </w:tc>
        <w:tc>
          <w:tcPr>
            <w:tcW w:w="2343" w:type="dxa"/>
            <w:vAlign w:val="center"/>
          </w:tcPr>
          <w:p>
            <w:pPr>
              <w:spacing w:line="24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w:t>
            </w:r>
            <w:r>
              <w:rPr>
                <w:rFonts w:hint="default" w:ascii="Times New Roman" w:hAnsi="Times New Roman" w:eastAsia="宋体" w:cs="Times New Roman"/>
                <w:sz w:val="21"/>
                <w:szCs w:val="21"/>
                <w:lang w:val="en-US" w:eastAsia="zh-CN"/>
              </w:rPr>
              <w:t>6</w:t>
            </w:r>
          </w:p>
        </w:tc>
        <w:tc>
          <w:tcPr>
            <w:tcW w:w="3418" w:type="dxa"/>
            <w:vAlign w:val="center"/>
          </w:tcPr>
          <w:p>
            <w:pPr>
              <w:spacing w:line="24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不构成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526" w:type="dxa"/>
            <w:vAlign w:val="center"/>
          </w:tcPr>
          <w:p>
            <w:pPr>
              <w:spacing w:line="240" w:lineRule="auto"/>
              <w:ind w:firstLine="420" w:firstLineChars="200"/>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104生产车间四</w:t>
            </w:r>
          </w:p>
        </w:tc>
        <w:tc>
          <w:tcPr>
            <w:tcW w:w="2343" w:type="dxa"/>
            <w:vAlign w:val="center"/>
          </w:tcPr>
          <w:p>
            <w:pPr>
              <w:spacing w:line="24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w:t>
            </w:r>
            <w:r>
              <w:rPr>
                <w:rFonts w:hint="default" w:ascii="Times New Roman" w:hAnsi="Times New Roman" w:eastAsia="宋体" w:cs="Times New Roman"/>
                <w:sz w:val="21"/>
                <w:szCs w:val="21"/>
                <w:lang w:val="en-US" w:eastAsia="zh-CN"/>
              </w:rPr>
              <w:t>6</w:t>
            </w:r>
          </w:p>
        </w:tc>
        <w:tc>
          <w:tcPr>
            <w:tcW w:w="3418" w:type="dxa"/>
            <w:vAlign w:val="center"/>
          </w:tcPr>
          <w:p>
            <w:pPr>
              <w:spacing w:line="24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不构成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9287" w:type="dxa"/>
            <w:gridSpan w:val="3"/>
            <w:vAlign w:val="center"/>
          </w:tcPr>
          <w:p>
            <w:pPr>
              <w:spacing w:line="24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储存单元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3526" w:type="dxa"/>
            <w:vAlign w:val="center"/>
          </w:tcPr>
          <w:p>
            <w:pPr>
              <w:spacing w:line="240" w:lineRule="auto"/>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201原料罐区</w:t>
            </w:r>
          </w:p>
        </w:tc>
        <w:tc>
          <w:tcPr>
            <w:tcW w:w="2343" w:type="dxa"/>
            <w:vAlign w:val="center"/>
          </w:tcPr>
          <w:p>
            <w:pPr>
              <w:spacing w:line="240" w:lineRule="auto"/>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w:t>
            </w:r>
            <w:r>
              <w:rPr>
                <w:rFonts w:hint="default" w:ascii="Times New Roman" w:hAnsi="Times New Roman" w:eastAsia="宋体" w:cs="Times New Roman"/>
                <w:sz w:val="21"/>
                <w:szCs w:val="21"/>
                <w:lang w:val="en-US" w:eastAsia="zh-CN"/>
              </w:rPr>
              <w:t>81</w:t>
            </w:r>
          </w:p>
        </w:tc>
        <w:tc>
          <w:tcPr>
            <w:tcW w:w="3418" w:type="dxa"/>
            <w:vAlign w:val="center"/>
          </w:tcPr>
          <w:p>
            <w:pPr>
              <w:spacing w:line="240" w:lineRule="auto"/>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不构成</w:t>
            </w:r>
          </w:p>
        </w:tc>
      </w:tr>
    </w:tbl>
    <w:p>
      <w:pPr>
        <w:spacing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lang w:val="zh-CN"/>
        </w:rPr>
        <w:t>根据分析可知：</w:t>
      </w:r>
      <w:r>
        <w:rPr>
          <w:rFonts w:hint="default" w:ascii="Times New Roman" w:hAnsi="Times New Roman" w:cs="Times New Roman"/>
          <w:sz w:val="28"/>
          <w:szCs w:val="28"/>
          <w:lang w:eastAsia="zh-CN"/>
        </w:rPr>
        <w:t>上饶市广氟医药化工有限公司</w:t>
      </w:r>
      <w:r>
        <w:rPr>
          <w:rFonts w:hint="default" w:ascii="Times New Roman" w:hAnsi="Times New Roman" w:cs="Times New Roman"/>
          <w:sz w:val="28"/>
          <w:szCs w:val="28"/>
          <w:lang w:val="en-US" w:eastAsia="zh-CN"/>
        </w:rPr>
        <w:t>各</w:t>
      </w:r>
      <w:r>
        <w:rPr>
          <w:rFonts w:hint="default" w:ascii="Times New Roman" w:hAnsi="Times New Roman" w:cs="Times New Roman"/>
          <w:sz w:val="28"/>
          <w:szCs w:val="28"/>
        </w:rPr>
        <w:t>生产、储存单元均未构成重大危险源。</w:t>
      </w:r>
    </w:p>
    <w:p>
      <w:pPr>
        <w:pStyle w:val="4"/>
        <w:rPr>
          <w:rFonts w:hint="default" w:ascii="Times New Roman" w:hAnsi="Times New Roman" w:cs="Times New Roman"/>
        </w:rPr>
      </w:pPr>
      <w:bookmarkStart w:id="82" w:name="_Toc21251"/>
      <w:r>
        <w:rPr>
          <w:rFonts w:hint="default" w:ascii="Times New Roman" w:hAnsi="Times New Roman" w:cs="Times New Roman"/>
          <w:lang w:val="en-US" w:eastAsia="zh-CN"/>
        </w:rPr>
        <w:t>7.4</w:t>
      </w:r>
      <w:r>
        <w:rPr>
          <w:rFonts w:hint="default" w:ascii="Times New Roman" w:hAnsi="Times New Roman" w:cs="Times New Roman"/>
        </w:rPr>
        <w:t>存在的事故隐患及风险程度和紧迫程度</w:t>
      </w:r>
      <w:bookmarkEnd w:id="82"/>
    </w:p>
    <w:p>
      <w:pPr>
        <w:ind w:firstLine="560" w:firstLineChars="200"/>
        <w:rPr>
          <w:rFonts w:hint="default" w:ascii="Times New Roman" w:hAnsi="Times New Roman" w:cs="Times New Roman"/>
        </w:rPr>
      </w:pPr>
      <w:r>
        <w:rPr>
          <w:rFonts w:hint="default" w:ascii="Times New Roman" w:hAnsi="Times New Roman" w:cs="Times New Roman"/>
          <w:sz w:val="28"/>
          <w:szCs w:val="28"/>
        </w:rPr>
        <w:t>根据江西赣安安全生产科学技术咨询服务中心评价小组对</w:t>
      </w:r>
      <w:r>
        <w:rPr>
          <w:rFonts w:hint="default" w:ascii="Times New Roman" w:hAnsi="Times New Roman" w:cs="Times New Roman"/>
          <w:sz w:val="28"/>
          <w:szCs w:val="28"/>
          <w:lang w:eastAsia="zh-CN"/>
        </w:rPr>
        <w:t>上饶市广氟医药化工有限公司</w:t>
      </w:r>
      <w:r>
        <w:rPr>
          <w:rFonts w:hint="default" w:ascii="Times New Roman" w:hAnsi="Times New Roman" w:cs="Times New Roman"/>
          <w:sz w:val="28"/>
          <w:szCs w:val="28"/>
        </w:rPr>
        <w:t>安全生产现状进行了现场检查。现将检查中发现的安全不合格项如下：</w:t>
      </w:r>
    </w:p>
    <w:p>
      <w:pPr>
        <w:jc w:val="center"/>
        <w:rPr>
          <w:rFonts w:hint="default" w:ascii="Times New Roman" w:hAnsi="Times New Roman" w:cs="Times New Roman"/>
        </w:rPr>
      </w:pPr>
      <w:r>
        <w:rPr>
          <w:rFonts w:hint="default" w:ascii="Times New Roman" w:hAnsi="Times New Roman" w:cs="Times New Roman"/>
        </w:rPr>
        <w:t>表7.</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eastAsia="宋体" w:cs="Times New Roman"/>
        </w:rPr>
        <w:t>1 安全不合格项和整改措施及建议</w:t>
      </w:r>
    </w:p>
    <w:tbl>
      <w:tblPr>
        <w:tblStyle w:val="25"/>
        <w:tblW w:w="928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979"/>
        <w:gridCol w:w="3254"/>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979" w:type="dxa"/>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需整改内容</w:t>
            </w:r>
          </w:p>
        </w:tc>
        <w:tc>
          <w:tcPr>
            <w:tcW w:w="3254" w:type="dxa"/>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对策措施及建议</w:t>
            </w:r>
          </w:p>
        </w:tc>
        <w:tc>
          <w:tcPr>
            <w:tcW w:w="2219" w:type="dxa"/>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标准依据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979" w:type="dxa"/>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紧急通道和出入口未设置醒目的标志</w:t>
            </w:r>
            <w:r>
              <w:rPr>
                <w:rFonts w:hint="default" w:ascii="Times New Roman" w:hAnsi="Times New Roman" w:cs="Times New Roman"/>
                <w:sz w:val="21"/>
                <w:szCs w:val="21"/>
                <w:lang w:eastAsia="zh-CN"/>
              </w:rPr>
              <w:t>。</w:t>
            </w:r>
          </w:p>
        </w:tc>
        <w:tc>
          <w:tcPr>
            <w:tcW w:w="3254"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按要求在紧急通道和出入口设置醒目的标志</w:t>
            </w:r>
          </w:p>
        </w:tc>
        <w:tc>
          <w:tcPr>
            <w:tcW w:w="2219"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《生产过程安全卫生要求总则》6.8.3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979" w:type="dxa"/>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未为操作人员提供自吸过滤式防毒面具</w:t>
            </w:r>
            <w:r>
              <w:rPr>
                <w:rFonts w:hint="default" w:ascii="Times New Roman" w:hAnsi="Times New Roman" w:cs="Times New Roman"/>
                <w:sz w:val="21"/>
                <w:szCs w:val="21"/>
                <w:lang w:eastAsia="zh-CN"/>
              </w:rPr>
              <w:t>。</w:t>
            </w:r>
          </w:p>
        </w:tc>
        <w:tc>
          <w:tcPr>
            <w:tcW w:w="3254"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按要求配备自吸过滤式防毒面具</w:t>
            </w:r>
          </w:p>
        </w:tc>
        <w:tc>
          <w:tcPr>
            <w:tcW w:w="2219"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《首批重点监管的危险化学品安全措施和应急处置原则》氢氟酸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979"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部分管线未设防止物料外泄或喷溅的措施。</w:t>
            </w:r>
          </w:p>
        </w:tc>
        <w:tc>
          <w:tcPr>
            <w:tcW w:w="3254"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按要求在有毒物料的管线上设置设防止物料外泄或喷溅的措施</w:t>
            </w:r>
          </w:p>
        </w:tc>
        <w:tc>
          <w:tcPr>
            <w:tcW w:w="2219"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《化工企业安全卫生设计规范》5.6.1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36"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979"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201原料罐区有毒气体检测报警器不能覆盖所有释放源。</w:t>
            </w:r>
          </w:p>
        </w:tc>
        <w:tc>
          <w:tcPr>
            <w:tcW w:w="3254"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按要求在201原料罐区增加有毒气体检测报警器</w:t>
            </w:r>
          </w:p>
        </w:tc>
        <w:tc>
          <w:tcPr>
            <w:tcW w:w="2219"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《石油化工可燃气体和有毒气体检测报警设计标准》6.1.2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2979"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101生产车间的地面腐蚀严重，未进行防腐处理。</w:t>
            </w:r>
          </w:p>
        </w:tc>
        <w:tc>
          <w:tcPr>
            <w:tcW w:w="3254"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对生产车间的地面进行防腐处理</w:t>
            </w:r>
          </w:p>
        </w:tc>
        <w:tc>
          <w:tcPr>
            <w:tcW w:w="2219"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《化工企业安全卫生设计规范》5.6.4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2979" w:type="dxa"/>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未配备注册安全工程师</w:t>
            </w:r>
            <w:r>
              <w:rPr>
                <w:rFonts w:hint="default" w:ascii="Times New Roman" w:hAnsi="Times New Roman" w:cs="Times New Roman"/>
                <w:sz w:val="21"/>
                <w:szCs w:val="21"/>
                <w:lang w:eastAsia="zh-CN"/>
              </w:rPr>
              <w:t>。</w:t>
            </w:r>
          </w:p>
        </w:tc>
        <w:tc>
          <w:tcPr>
            <w:tcW w:w="3254"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按要求配备注册安全工程师</w:t>
            </w:r>
          </w:p>
        </w:tc>
        <w:tc>
          <w:tcPr>
            <w:tcW w:w="2219"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《关于印发危险化学品生产储存企业安全风险评估诊断分级指南（试行）的通知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7</w:t>
            </w:r>
          </w:p>
        </w:tc>
        <w:tc>
          <w:tcPr>
            <w:tcW w:w="2979"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岗位操作规程不完善</w:t>
            </w:r>
          </w:p>
        </w:tc>
        <w:tc>
          <w:tcPr>
            <w:tcW w:w="3254" w:type="dxa"/>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按要求完善岗位操作规程</w:t>
            </w:r>
          </w:p>
        </w:tc>
        <w:tc>
          <w:tcPr>
            <w:tcW w:w="2219"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《关于危险化学品企业贯彻落实《国务院关于进一步加强企业安全生产工作的通知》的实施意见》安监总管三〔2010〕186号第2条</w:t>
            </w:r>
          </w:p>
        </w:tc>
      </w:tr>
    </w:tbl>
    <w:p>
      <w:pPr>
        <w:ind w:firstLine="560" w:firstLineChars="200"/>
        <w:rPr>
          <w:rFonts w:hint="default" w:ascii="Times New Roman" w:hAnsi="Times New Roman" w:eastAsia="宋体" w:cs="Times New Roman"/>
          <w:sz w:val="28"/>
          <w:szCs w:val="28"/>
          <w:lang w:val="en-US"/>
        </w:rPr>
      </w:pPr>
      <w:r>
        <w:rPr>
          <w:rFonts w:hint="default" w:ascii="Times New Roman" w:hAnsi="Times New Roman" w:cs="Times New Roman"/>
          <w:sz w:val="28"/>
          <w:szCs w:val="28"/>
        </w:rPr>
        <w:t>根据</w:t>
      </w:r>
      <w:r>
        <w:rPr>
          <w:rFonts w:hint="default" w:ascii="Times New Roman" w:hAnsi="Times New Roman" w:eastAsia="宋体" w:cs="Times New Roman"/>
          <w:sz w:val="28"/>
          <w:szCs w:val="28"/>
          <w:lang w:val="en-US" w:eastAsia="zh-CN"/>
        </w:rPr>
        <w:t>北京慎恒工程设计有限公司出具的《上饶市广氟医药化工有限公司自动化控制诊断报告》，对企业的采纳情况进行了检查，</w:t>
      </w:r>
      <w:r>
        <w:rPr>
          <w:rFonts w:hint="default" w:ascii="Times New Roman" w:hAnsi="Times New Roman" w:cs="Times New Roman"/>
          <w:sz w:val="28"/>
          <w:szCs w:val="28"/>
        </w:rPr>
        <w:t>将检查中发现的</w:t>
      </w:r>
      <w:r>
        <w:rPr>
          <w:rFonts w:hint="default" w:ascii="Times New Roman" w:hAnsi="Times New Roman" w:cs="Times New Roman"/>
          <w:sz w:val="28"/>
          <w:szCs w:val="28"/>
          <w:lang w:val="en-US" w:eastAsia="zh-CN"/>
        </w:rPr>
        <w:t>未采纳</w:t>
      </w:r>
      <w:r>
        <w:rPr>
          <w:rFonts w:hint="default" w:ascii="Times New Roman" w:hAnsi="Times New Roman" w:cs="Times New Roman"/>
          <w:sz w:val="28"/>
          <w:szCs w:val="28"/>
        </w:rPr>
        <w:t>项</w:t>
      </w:r>
      <w:r>
        <w:rPr>
          <w:rFonts w:hint="default" w:ascii="Times New Roman" w:hAnsi="Times New Roman" w:cs="Times New Roman"/>
          <w:sz w:val="28"/>
          <w:szCs w:val="28"/>
          <w:lang w:val="en-US" w:eastAsia="zh-CN"/>
        </w:rPr>
        <w:t>列出如下</w:t>
      </w:r>
      <w:r>
        <w:rPr>
          <w:rFonts w:hint="default" w:ascii="Times New Roman" w:hAnsi="Times New Roman" w:cs="Times New Roman"/>
          <w:sz w:val="28"/>
          <w:szCs w:val="28"/>
        </w:rPr>
        <w:t>：</w:t>
      </w:r>
    </w:p>
    <w:p>
      <w:pPr>
        <w:pStyle w:val="7"/>
        <w:jc w:val="center"/>
        <w:rPr>
          <w:rFonts w:hint="default" w:ascii="Times New Roman" w:hAnsi="Times New Roman" w:eastAsia="宋体" w:cs="Times New Roman"/>
          <w:lang w:val="en-US" w:eastAsia="zh-CN"/>
        </w:rPr>
      </w:pPr>
      <w:r>
        <w:rPr>
          <w:rFonts w:hint="default" w:ascii="Times New Roman" w:hAnsi="Times New Roman" w:cs="Times New Roman"/>
        </w:rPr>
        <w:t>表7.</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eastAsia="宋体" w:cs="Times New Roman"/>
          <w:lang w:val="en-US" w:eastAsia="zh-CN"/>
        </w:rPr>
        <w:t>2</w:t>
      </w:r>
      <w:r>
        <w:rPr>
          <w:rFonts w:hint="default" w:ascii="Times New Roman" w:hAnsi="Times New Roman" w:eastAsia="宋体" w:cs="Times New Roman"/>
        </w:rPr>
        <w:t xml:space="preserve"> </w:t>
      </w:r>
      <w:r>
        <w:rPr>
          <w:rFonts w:hint="default" w:ascii="Times New Roman" w:hAnsi="Times New Roman" w:eastAsia="宋体" w:cs="Times New Roman"/>
          <w:lang w:val="en-US" w:eastAsia="zh-CN"/>
        </w:rPr>
        <w:t>自动化控制诊断报告未采纳项</w:t>
      </w:r>
    </w:p>
    <w:tbl>
      <w:tblPr>
        <w:tblStyle w:val="25"/>
        <w:tblW w:w="928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979"/>
        <w:gridCol w:w="3918"/>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序号</w:t>
            </w:r>
          </w:p>
        </w:tc>
        <w:tc>
          <w:tcPr>
            <w:tcW w:w="2979"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需整改内容</w:t>
            </w:r>
          </w:p>
        </w:tc>
        <w:tc>
          <w:tcPr>
            <w:tcW w:w="3918" w:type="dxa"/>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对策措施及建议</w:t>
            </w:r>
          </w:p>
        </w:tc>
        <w:tc>
          <w:tcPr>
            <w:tcW w:w="1555"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pStyle w:val="6"/>
              <w:rPr>
                <w:rFonts w:hint="default" w:ascii="Times New Roman" w:hAnsi="Times New Roman" w:eastAsia="宋体" w:cs="Times New Roman"/>
                <w:lang w:val="en-US" w:eastAsia="zh-CN"/>
              </w:rPr>
            </w:pPr>
            <w:r>
              <w:rPr>
                <w:rFonts w:hint="default" w:ascii="Times New Roman" w:hAnsi="Times New Roman" w:cs="Times New Roman"/>
                <w:lang w:val="en-US" w:eastAsia="zh-CN"/>
              </w:rPr>
              <w:t>1</w:t>
            </w:r>
          </w:p>
        </w:tc>
        <w:tc>
          <w:tcPr>
            <w:tcW w:w="2979"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装置高位槽未设置高高液位联锁切断进料或设溢流管道</w:t>
            </w:r>
          </w:p>
        </w:tc>
        <w:tc>
          <w:tcPr>
            <w:tcW w:w="3918"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按要求在</w:t>
            </w:r>
            <w:r>
              <w:rPr>
                <w:rFonts w:hint="default" w:ascii="Times New Roman" w:hAnsi="Times New Roman" w:cs="Times New Roman"/>
                <w:sz w:val="21"/>
                <w:szCs w:val="21"/>
              </w:rPr>
              <w:t>装置高位槽置高高液位联锁切断进料或设溢流管道</w:t>
            </w:r>
          </w:p>
        </w:tc>
        <w:tc>
          <w:tcPr>
            <w:tcW w:w="1555" w:type="dxa"/>
            <w:vMerge w:val="restart"/>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企业承诺于2023年底完成整改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2979"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氢氟酸进料切断阀选用电动阀</w:t>
            </w:r>
          </w:p>
        </w:tc>
        <w:tc>
          <w:tcPr>
            <w:tcW w:w="3918"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氢氟酸进料切断阀选用</w:t>
            </w:r>
            <w:r>
              <w:rPr>
                <w:rFonts w:hint="default" w:ascii="Times New Roman" w:hAnsi="Times New Roman" w:cs="Times New Roman"/>
                <w:sz w:val="21"/>
                <w:szCs w:val="21"/>
                <w:lang w:val="en-US" w:eastAsia="zh-CN"/>
              </w:rPr>
              <w:t>气动阀</w:t>
            </w:r>
          </w:p>
        </w:tc>
        <w:tc>
          <w:tcPr>
            <w:tcW w:w="1555" w:type="dxa"/>
            <w:vMerge w:val="continue"/>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w:t>
            </w:r>
          </w:p>
        </w:tc>
        <w:tc>
          <w:tcPr>
            <w:tcW w:w="2979"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氟硅酸储罐、氟硼酸、(10~20%)有水氢氟酸中间罐、碱液罐未设置高低液位报警</w:t>
            </w:r>
          </w:p>
        </w:tc>
        <w:tc>
          <w:tcPr>
            <w:tcW w:w="3918"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按要求设置</w:t>
            </w:r>
            <w:r>
              <w:rPr>
                <w:rFonts w:hint="default" w:ascii="Times New Roman" w:hAnsi="Times New Roman" w:cs="Times New Roman"/>
                <w:sz w:val="21"/>
                <w:szCs w:val="21"/>
              </w:rPr>
              <w:t>高低液位报警</w:t>
            </w:r>
          </w:p>
        </w:tc>
        <w:tc>
          <w:tcPr>
            <w:tcW w:w="1555" w:type="dxa"/>
            <w:vMerge w:val="continue"/>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w:t>
            </w:r>
          </w:p>
        </w:tc>
        <w:tc>
          <w:tcPr>
            <w:tcW w:w="2979"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201原料罐区有毒气体检测报警器不能覆盖所有释放源</w:t>
            </w:r>
          </w:p>
        </w:tc>
        <w:tc>
          <w:tcPr>
            <w:tcW w:w="3918"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按要求增加</w:t>
            </w:r>
            <w:r>
              <w:rPr>
                <w:rFonts w:hint="default" w:ascii="Times New Roman" w:hAnsi="Times New Roman" w:cs="Times New Roman"/>
                <w:sz w:val="21"/>
                <w:szCs w:val="21"/>
              </w:rPr>
              <w:t>有毒气体检测报警器</w:t>
            </w:r>
          </w:p>
        </w:tc>
        <w:tc>
          <w:tcPr>
            <w:tcW w:w="1555" w:type="dxa"/>
            <w:vMerge w:val="continue"/>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w:t>
            </w:r>
          </w:p>
        </w:tc>
        <w:tc>
          <w:tcPr>
            <w:tcW w:w="2979"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有毒气体报警器信号上传至控制室PLC系统，未设置独立的气体报警系统</w:t>
            </w:r>
          </w:p>
        </w:tc>
        <w:tc>
          <w:tcPr>
            <w:tcW w:w="3918"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按要求设置独立于基本过程控制系统的气体报警系统</w:t>
            </w:r>
          </w:p>
        </w:tc>
        <w:tc>
          <w:tcPr>
            <w:tcW w:w="1555" w:type="dxa"/>
            <w:vMerge w:val="continue"/>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w:t>
            </w:r>
          </w:p>
        </w:tc>
        <w:tc>
          <w:tcPr>
            <w:tcW w:w="2979"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控制室内未按设计要求设置防静电地板，静电接地设置不完善</w:t>
            </w:r>
          </w:p>
        </w:tc>
        <w:tc>
          <w:tcPr>
            <w:tcW w:w="3918"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根据原安全设施设计专篇要求对控制室进行整改</w:t>
            </w:r>
          </w:p>
        </w:tc>
        <w:tc>
          <w:tcPr>
            <w:tcW w:w="1555" w:type="dxa"/>
            <w:vMerge w:val="continue"/>
            <w:vAlign w:val="center"/>
          </w:tcPr>
          <w:p>
            <w:pPr>
              <w:spacing w:line="240" w:lineRule="auto"/>
              <w:jc w:val="center"/>
              <w:rPr>
                <w:rFonts w:hint="default" w:ascii="Times New Roman" w:hAnsi="Times New Roman" w:cs="Times New Roman"/>
                <w:sz w:val="21"/>
                <w:szCs w:val="21"/>
              </w:rPr>
            </w:pPr>
          </w:p>
        </w:tc>
      </w:tr>
    </w:tbl>
    <w:p>
      <w:pPr>
        <w:pStyle w:val="4"/>
        <w:rPr>
          <w:rFonts w:hint="default" w:ascii="Times New Roman" w:hAnsi="Times New Roman" w:cs="Times New Roman"/>
        </w:rPr>
      </w:pPr>
      <w:bookmarkStart w:id="83" w:name="_Toc15733"/>
      <w:r>
        <w:rPr>
          <w:rFonts w:hint="default" w:ascii="Times New Roman" w:hAnsi="Times New Roman" w:cs="Times New Roman"/>
        </w:rPr>
        <w:t>7.3事故案例</w:t>
      </w:r>
      <w:bookmarkEnd w:id="83"/>
    </w:p>
    <w:p>
      <w:pPr>
        <w:autoSpaceDE w:val="0"/>
        <w:autoSpaceDN w:val="0"/>
        <w:adjustRightInd w:val="0"/>
        <w:spacing w:line="580" w:lineRule="exact"/>
        <w:ind w:firstLine="562" w:firstLineChars="200"/>
        <w:jc w:val="center"/>
        <w:rPr>
          <w:rFonts w:hint="default" w:ascii="Times New Roman" w:hAnsi="Times New Roman" w:eastAsia="宋体" w:cs="Times New Roman"/>
          <w:b/>
          <w:bCs/>
          <w:smallCaps/>
          <w:kern w:val="0"/>
        </w:rPr>
      </w:pPr>
      <w:r>
        <w:rPr>
          <w:rFonts w:hint="default" w:ascii="Times New Roman" w:hAnsi="Times New Roman" w:eastAsia="宋体" w:cs="Times New Roman"/>
          <w:b/>
          <w:bCs/>
          <w:smallCaps/>
          <w:kern w:val="0"/>
        </w:rPr>
        <w:t>氢氟酸中毒事故案例</w:t>
      </w:r>
    </w:p>
    <w:p>
      <w:pPr>
        <w:autoSpaceDE w:val="0"/>
        <w:autoSpaceDN w:val="0"/>
        <w:adjustRightInd w:val="0"/>
        <w:spacing w:line="580" w:lineRule="exact"/>
        <w:ind w:firstLine="560" w:firstLineChars="200"/>
        <w:rPr>
          <w:rFonts w:hint="default" w:ascii="Times New Roman" w:hAnsi="Times New Roman" w:eastAsia="宋体" w:cs="Times New Roman"/>
          <w:bCs/>
          <w:smallCaps/>
          <w:kern w:val="0"/>
        </w:rPr>
      </w:pPr>
      <w:r>
        <w:rPr>
          <w:rFonts w:hint="default" w:ascii="Times New Roman" w:hAnsi="Times New Roman" w:eastAsia="宋体" w:cs="Times New Roman"/>
          <w:bCs/>
          <w:smallCaps/>
          <w:kern w:val="0"/>
        </w:rPr>
        <w:t>1）事故概况</w:t>
      </w:r>
    </w:p>
    <w:p>
      <w:pPr>
        <w:autoSpaceDE w:val="0"/>
        <w:autoSpaceDN w:val="0"/>
        <w:adjustRightInd w:val="0"/>
        <w:spacing w:line="580" w:lineRule="exact"/>
        <w:ind w:firstLine="560" w:firstLineChars="200"/>
        <w:rPr>
          <w:rFonts w:hint="default" w:ascii="Times New Roman" w:hAnsi="Times New Roman" w:eastAsia="宋体" w:cs="Times New Roman"/>
          <w:bCs/>
          <w:smallCaps/>
          <w:kern w:val="0"/>
        </w:rPr>
      </w:pPr>
      <w:r>
        <w:rPr>
          <w:rFonts w:hint="default" w:ascii="Times New Roman" w:hAnsi="Times New Roman" w:eastAsia="宋体" w:cs="Times New Roman"/>
          <w:bCs/>
          <w:smallCaps/>
          <w:kern w:val="0"/>
        </w:rPr>
        <w:t>2008年5月25日，受德泰公司厂部指派，机修工姚佐羊与工友罗龙生当天的工作任务是拆除氟苯车间外墙的一段废弃管道（管外径3.8厘米、长7米，沿氟苯车间外墙铺设，距地面高度3.5米，连接于静置罐与废酸回收设备之间，管内介质为氢氟酸溶液，后因工艺改进，该管道闲置）。上午10时30分左右，姚佐羊将钢质楼梯靠放在废弃管口下方，登上钢梯，双手握住管口部位准备拆卸，在管口下移时，管内残留的氢氟酸溶液顺管口流出，溅洒在姚佐羊的两腿内侧导致皮肤大面积灼伤。伤者姚佐羊顺梯滑落至地面，迅速脱去外衣，现场人员紧急对其灼伤部位进行清水冲洗。公司主要负责人曹曙光闻迅后赶到现场，将伤者姚佐羊紧急送往华泰医疗室进行清创处理。考虑伤情严重，德泰公司迅速将伤者送往安庆石化医院进一步治疗。伤者在送往安庆的途中，氢氟酸经皮肤吸收引起严重中毒后休克，德泰公司就近急送大渡口医院抢救。11时45分经大渡口医院医师确认，伤者姚佐羊已中毒死亡。</w:t>
      </w:r>
    </w:p>
    <w:p>
      <w:pPr>
        <w:autoSpaceDE w:val="0"/>
        <w:autoSpaceDN w:val="0"/>
        <w:adjustRightInd w:val="0"/>
        <w:spacing w:line="580" w:lineRule="exact"/>
        <w:ind w:firstLine="560" w:firstLineChars="200"/>
        <w:rPr>
          <w:rFonts w:hint="default" w:ascii="Times New Roman" w:hAnsi="Times New Roman" w:eastAsia="宋体" w:cs="Times New Roman"/>
          <w:bCs/>
          <w:smallCaps/>
          <w:kern w:val="0"/>
        </w:rPr>
      </w:pPr>
      <w:r>
        <w:rPr>
          <w:rFonts w:hint="default" w:ascii="Times New Roman" w:hAnsi="Times New Roman" w:eastAsia="宋体" w:cs="Times New Roman"/>
          <w:bCs/>
          <w:smallCaps/>
          <w:kern w:val="0"/>
        </w:rPr>
        <w:t>2）事故原因</w:t>
      </w:r>
    </w:p>
    <w:p>
      <w:pPr>
        <w:autoSpaceDE w:val="0"/>
        <w:autoSpaceDN w:val="0"/>
        <w:adjustRightInd w:val="0"/>
        <w:spacing w:line="580" w:lineRule="exact"/>
        <w:ind w:firstLine="560" w:firstLineChars="200"/>
        <w:rPr>
          <w:rFonts w:hint="default" w:ascii="Times New Roman" w:hAnsi="Times New Roman" w:eastAsia="宋体" w:cs="Times New Roman"/>
          <w:bCs/>
          <w:smallCaps/>
          <w:kern w:val="0"/>
        </w:rPr>
      </w:pPr>
      <w:r>
        <w:rPr>
          <w:rFonts w:hint="default" w:ascii="Times New Roman" w:hAnsi="Times New Roman" w:eastAsia="宋体" w:cs="Times New Roman"/>
          <w:bCs/>
          <w:smallCaps/>
          <w:kern w:val="0"/>
        </w:rPr>
        <w:t>（1）直接原因</w:t>
      </w:r>
    </w:p>
    <w:p>
      <w:pPr>
        <w:autoSpaceDE w:val="0"/>
        <w:autoSpaceDN w:val="0"/>
        <w:adjustRightInd w:val="0"/>
        <w:spacing w:line="580" w:lineRule="exact"/>
        <w:ind w:firstLine="560" w:firstLineChars="200"/>
        <w:rPr>
          <w:rFonts w:hint="default" w:ascii="Times New Roman" w:hAnsi="Times New Roman" w:eastAsia="宋体" w:cs="Times New Roman"/>
          <w:bCs/>
          <w:smallCaps/>
          <w:kern w:val="0"/>
        </w:rPr>
      </w:pPr>
      <w:r>
        <w:rPr>
          <w:rFonts w:hint="default" w:ascii="Times New Roman" w:hAnsi="Times New Roman" w:eastAsia="宋体" w:cs="Times New Roman"/>
          <w:bCs/>
          <w:smallCaps/>
          <w:kern w:val="0"/>
        </w:rPr>
        <w:t>经认定，此次为氢氟酸灼伤皮肤后中毒事故。事故的直接原因是废弃管道拆除前清水冲洗不彻底，未经蒸气吹扫，以致氢氟酸水溶液残留于管道。机修工姚佐羊在拆除该管道时情况不明，违章操作导致氢氟酸灼伤后中毒。</w:t>
      </w:r>
    </w:p>
    <w:p>
      <w:pPr>
        <w:autoSpaceDE w:val="0"/>
        <w:autoSpaceDN w:val="0"/>
        <w:adjustRightInd w:val="0"/>
        <w:spacing w:line="580" w:lineRule="exact"/>
        <w:ind w:firstLine="560" w:firstLineChars="200"/>
        <w:rPr>
          <w:rFonts w:hint="default" w:ascii="Times New Roman" w:hAnsi="Times New Roman" w:eastAsia="宋体" w:cs="Times New Roman"/>
          <w:bCs/>
          <w:smallCaps/>
          <w:kern w:val="0"/>
        </w:rPr>
      </w:pPr>
      <w:r>
        <w:rPr>
          <w:rFonts w:hint="default" w:ascii="Times New Roman" w:hAnsi="Times New Roman" w:eastAsia="宋体" w:cs="Times New Roman"/>
          <w:bCs/>
          <w:smallCaps/>
          <w:kern w:val="0"/>
        </w:rPr>
        <w:t>（2）间接原因</w:t>
      </w:r>
    </w:p>
    <w:p>
      <w:pPr>
        <w:autoSpaceDE w:val="0"/>
        <w:autoSpaceDN w:val="0"/>
        <w:adjustRightInd w:val="0"/>
        <w:spacing w:line="580" w:lineRule="exact"/>
        <w:ind w:firstLine="560" w:firstLineChars="200"/>
        <w:rPr>
          <w:rFonts w:hint="default" w:ascii="Times New Roman" w:hAnsi="Times New Roman" w:eastAsia="宋体" w:cs="Times New Roman"/>
          <w:bCs/>
          <w:smallCaps/>
          <w:kern w:val="0"/>
        </w:rPr>
      </w:pPr>
      <w:r>
        <w:rPr>
          <w:rFonts w:hint="default" w:ascii="Times New Roman" w:hAnsi="Times New Roman" w:eastAsia="宋体" w:cs="Times New Roman"/>
          <w:bCs/>
          <w:smallCaps/>
          <w:kern w:val="0"/>
        </w:rPr>
        <w:t>①企业隐患排查不彻底。废弃管道内的有害残留物料未能清除干净，未能及时发现和消除事故隐患。</w:t>
      </w:r>
    </w:p>
    <w:p>
      <w:pPr>
        <w:autoSpaceDE w:val="0"/>
        <w:autoSpaceDN w:val="0"/>
        <w:adjustRightInd w:val="0"/>
        <w:spacing w:line="580" w:lineRule="exact"/>
        <w:ind w:firstLine="560" w:firstLineChars="200"/>
        <w:rPr>
          <w:rFonts w:hint="default" w:ascii="Times New Roman" w:hAnsi="Times New Roman" w:eastAsia="宋体" w:cs="Times New Roman"/>
          <w:bCs/>
          <w:smallCaps/>
          <w:kern w:val="0"/>
        </w:rPr>
      </w:pPr>
      <w:r>
        <w:rPr>
          <w:rFonts w:hint="default" w:ascii="Times New Roman" w:hAnsi="Times New Roman" w:eastAsia="宋体" w:cs="Times New Roman"/>
          <w:bCs/>
          <w:smallCaps/>
          <w:kern w:val="0"/>
        </w:rPr>
        <w:t>②企业“三级”安全教育未能有效落实，检修现场安全管理不到位。未能明确设备检修操作规程。从业人员的违章操作行为未能得到及时的制止和纠正。</w:t>
      </w:r>
    </w:p>
    <w:p>
      <w:pPr>
        <w:autoSpaceDE w:val="0"/>
        <w:autoSpaceDN w:val="0"/>
        <w:adjustRightInd w:val="0"/>
        <w:spacing w:line="580" w:lineRule="exact"/>
        <w:ind w:firstLine="560" w:firstLineChars="200"/>
        <w:rPr>
          <w:rFonts w:hint="default" w:ascii="Times New Roman" w:hAnsi="Times New Roman" w:eastAsia="宋体" w:cs="Times New Roman"/>
          <w:bCs/>
          <w:smallCaps/>
          <w:kern w:val="0"/>
        </w:rPr>
      </w:pPr>
      <w:r>
        <w:rPr>
          <w:rFonts w:hint="default" w:ascii="Times New Roman" w:hAnsi="Times New Roman" w:eastAsia="宋体" w:cs="Times New Roman"/>
          <w:bCs/>
          <w:smallCaps/>
          <w:kern w:val="0"/>
        </w:rPr>
        <w:t>③未能为从业人员配备必要的劳动防护用品并督促从业人员正确穿戴。</w:t>
      </w:r>
    </w:p>
    <w:p>
      <w:pPr>
        <w:autoSpaceDE w:val="0"/>
        <w:autoSpaceDN w:val="0"/>
        <w:adjustRightInd w:val="0"/>
        <w:spacing w:line="580" w:lineRule="exact"/>
        <w:ind w:firstLine="560" w:firstLineChars="200"/>
        <w:rPr>
          <w:rFonts w:hint="default" w:ascii="Times New Roman" w:hAnsi="Times New Roman" w:eastAsia="宋体" w:cs="Times New Roman"/>
          <w:bCs/>
          <w:smallCaps/>
          <w:kern w:val="0"/>
        </w:rPr>
      </w:pPr>
      <w:r>
        <w:rPr>
          <w:rFonts w:hint="default" w:ascii="Times New Roman" w:hAnsi="Times New Roman" w:eastAsia="宋体" w:cs="Times New Roman"/>
          <w:bCs/>
          <w:smallCaps/>
          <w:kern w:val="0"/>
        </w:rPr>
        <w:t>3）防范措施</w:t>
      </w:r>
    </w:p>
    <w:p>
      <w:pPr>
        <w:autoSpaceDE w:val="0"/>
        <w:autoSpaceDN w:val="0"/>
        <w:adjustRightInd w:val="0"/>
        <w:spacing w:line="580" w:lineRule="exact"/>
        <w:ind w:firstLine="560" w:firstLineChars="200"/>
        <w:rPr>
          <w:rFonts w:hint="default" w:ascii="Times New Roman" w:hAnsi="Times New Roman" w:eastAsia="宋体" w:cs="Times New Roman"/>
          <w:bCs/>
          <w:smallCaps/>
          <w:kern w:val="0"/>
        </w:rPr>
      </w:pPr>
      <w:r>
        <w:rPr>
          <w:rFonts w:hint="default" w:ascii="Times New Roman" w:hAnsi="Times New Roman" w:eastAsia="宋体" w:cs="Times New Roman"/>
          <w:bCs/>
          <w:smallCaps/>
          <w:kern w:val="0"/>
        </w:rPr>
        <w:t>（1）加强安全基础管理，查隐患、抓整改。要进一步健全安全管理规章制度和安全操作规程，坚决制止“三违”现象的发生。同时要对所有管道，压力容器等重点部位进行重点检查，做到排查不留死角，整改不留后患，确保安全设施完好有效。</w:t>
      </w:r>
    </w:p>
    <w:p>
      <w:pPr>
        <w:autoSpaceDE w:val="0"/>
        <w:autoSpaceDN w:val="0"/>
        <w:adjustRightInd w:val="0"/>
        <w:spacing w:line="580" w:lineRule="exact"/>
        <w:ind w:firstLine="560" w:firstLineChars="200"/>
        <w:rPr>
          <w:rFonts w:hint="default" w:ascii="Times New Roman" w:hAnsi="Times New Roman" w:eastAsia="宋体" w:cs="Times New Roman"/>
          <w:bCs/>
          <w:smallCaps/>
          <w:kern w:val="0"/>
        </w:rPr>
      </w:pPr>
      <w:r>
        <w:rPr>
          <w:rFonts w:hint="default" w:ascii="Times New Roman" w:hAnsi="Times New Roman" w:eastAsia="宋体" w:cs="Times New Roman"/>
          <w:bCs/>
          <w:smallCaps/>
          <w:kern w:val="0"/>
        </w:rPr>
        <w:t>（2）加强安全生产教育和培训。要依法培训从业人员，不断提高从业人员的安全意识和应急处置能力。未经安全生产教育和培训以及培训考核未合格的从业人员，不得上岗作业。</w:t>
      </w:r>
    </w:p>
    <w:p>
      <w:pPr>
        <w:autoSpaceDE w:val="0"/>
        <w:autoSpaceDN w:val="0"/>
        <w:adjustRightInd w:val="0"/>
        <w:spacing w:line="580" w:lineRule="exact"/>
        <w:ind w:firstLine="560" w:firstLineChars="200"/>
        <w:rPr>
          <w:rFonts w:hint="default" w:ascii="Times New Roman" w:hAnsi="Times New Roman" w:eastAsia="宋体" w:cs="Times New Roman"/>
          <w:bCs/>
          <w:smallCaps/>
          <w:kern w:val="0"/>
        </w:rPr>
      </w:pPr>
      <w:r>
        <w:rPr>
          <w:rFonts w:hint="default" w:ascii="Times New Roman" w:hAnsi="Times New Roman" w:eastAsia="宋体" w:cs="Times New Roman"/>
          <w:bCs/>
          <w:smallCaps/>
          <w:kern w:val="0"/>
        </w:rPr>
        <w:t>（3）严格作业环节和施工现场的管理。凡设备检修、动火等危险性较大的作业，应制定专题的施工方案及相应的安全防范措施，现场施工负责人必须到现场监督，确保施工安全。</w:t>
      </w:r>
    </w:p>
    <w:p>
      <w:pPr>
        <w:autoSpaceDE w:val="0"/>
        <w:autoSpaceDN w:val="0"/>
        <w:adjustRightInd w:val="0"/>
        <w:spacing w:line="580" w:lineRule="exact"/>
        <w:ind w:firstLine="560" w:firstLineChars="200"/>
        <w:rPr>
          <w:rFonts w:hint="default" w:ascii="Times New Roman" w:hAnsi="Times New Roman" w:eastAsia="宋体" w:cs="Times New Roman"/>
          <w:bCs/>
          <w:smallCaps/>
          <w:kern w:val="0"/>
        </w:rPr>
      </w:pPr>
      <w:r>
        <w:rPr>
          <w:rFonts w:hint="default" w:ascii="Times New Roman" w:hAnsi="Times New Roman" w:eastAsia="宋体" w:cs="Times New Roman"/>
          <w:bCs/>
          <w:smallCaps/>
          <w:kern w:val="0"/>
        </w:rPr>
        <w:t>（4）完善应急管理。要针对企业可能发生的事故情况，编制完善事故应急救援预案并组织演练，明确事故状态下从业人员抢救措施，配备应急救援器材，同时为从业人员配备必要的劳动防护用品，并督促从业人员上岗前正确穿戴。</w:t>
      </w:r>
    </w:p>
    <w:p>
      <w:pPr>
        <w:pStyle w:val="3"/>
        <w:rPr>
          <w:rFonts w:hint="default" w:ascii="Times New Roman" w:hAnsi="Times New Roman" w:cs="Times New Roman"/>
        </w:rPr>
      </w:pPr>
      <w:r>
        <w:rPr>
          <w:rFonts w:hint="default" w:ascii="Times New Roman" w:hAnsi="Times New Roman" w:cs="Times New Roman"/>
        </w:rPr>
        <w:br w:type="page"/>
      </w:r>
      <w:bookmarkStart w:id="84" w:name="_Toc32332"/>
      <w:r>
        <w:rPr>
          <w:rFonts w:hint="default" w:ascii="Times New Roman" w:hAnsi="Times New Roman" w:cs="Times New Roman"/>
        </w:rPr>
        <w:t>8可能发生的危险化学品事故的预测后果</w:t>
      </w:r>
      <w:bookmarkEnd w:id="84"/>
    </w:p>
    <w:p>
      <w:pPr>
        <w:ind w:firstLine="560" w:firstLineChars="200"/>
        <w:rPr>
          <w:rFonts w:hint="default" w:ascii="Times New Roman" w:hAnsi="Times New Roman" w:cs="Times New Roman"/>
        </w:rPr>
      </w:pPr>
      <w:r>
        <w:rPr>
          <w:rFonts w:hint="default" w:ascii="Times New Roman" w:hAnsi="Times New Roman" w:cs="Times New Roman"/>
        </w:rPr>
        <w:t>该公司在役生产装置中可能发生的重大事故，主要是工艺过程中的涉及有</w:t>
      </w:r>
      <w:r>
        <w:rPr>
          <w:rFonts w:hint="default" w:ascii="Times New Roman" w:hAnsi="Times New Roman" w:cs="Times New Roman"/>
          <w:lang w:val="en-US" w:eastAsia="zh-CN"/>
        </w:rPr>
        <w:t>有水氢氟酸、氟硅酸、氟硼酸</w:t>
      </w:r>
      <w:r>
        <w:rPr>
          <w:rFonts w:hint="default" w:ascii="Times New Roman" w:hAnsi="Times New Roman" w:cs="Times New Roman"/>
        </w:rPr>
        <w:t>等化学品泄漏引发的</w:t>
      </w:r>
      <w:r>
        <w:rPr>
          <w:rFonts w:hint="default" w:ascii="Times New Roman" w:hAnsi="Times New Roman" w:cs="Times New Roman"/>
          <w:lang w:val="en-US" w:eastAsia="zh-CN"/>
        </w:rPr>
        <w:t>中毒</w:t>
      </w:r>
      <w:r>
        <w:rPr>
          <w:rFonts w:hint="default" w:ascii="Times New Roman" w:hAnsi="Times New Roman" w:cs="Times New Roman"/>
          <w:lang w:eastAsia="zh-CN"/>
        </w:rPr>
        <w:t>、</w:t>
      </w:r>
      <w:r>
        <w:rPr>
          <w:rFonts w:hint="default" w:ascii="Times New Roman" w:hAnsi="Times New Roman" w:cs="Times New Roman"/>
          <w:lang w:val="en-US" w:eastAsia="zh-CN"/>
        </w:rPr>
        <w:t>灼烫、火灾</w:t>
      </w:r>
      <w:r>
        <w:rPr>
          <w:rFonts w:hint="default" w:ascii="Times New Roman" w:hAnsi="Times New Roman" w:cs="Times New Roman"/>
        </w:rPr>
        <w:t>事故等。</w:t>
      </w:r>
    </w:p>
    <w:p>
      <w:pPr>
        <w:ind w:firstLine="560" w:firstLineChars="200"/>
        <w:rPr>
          <w:rFonts w:hint="default" w:ascii="Times New Roman" w:hAnsi="Times New Roman" w:cs="Times New Roman"/>
        </w:rPr>
      </w:pPr>
      <w:r>
        <w:rPr>
          <w:rFonts w:hint="default" w:ascii="Times New Roman" w:hAnsi="Times New Roman" w:cs="Times New Roman"/>
        </w:rPr>
        <w:t>一、事故发生的可能性</w:t>
      </w:r>
    </w:p>
    <w:p>
      <w:pPr>
        <w:ind w:firstLine="560" w:firstLineChars="20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有毒物料</w:t>
      </w:r>
      <w:r>
        <w:rPr>
          <w:rFonts w:hint="default" w:ascii="Times New Roman" w:hAnsi="Times New Roman" w:cs="Times New Roman"/>
        </w:rPr>
        <w:t>泄漏发生的</w:t>
      </w:r>
      <w:r>
        <w:rPr>
          <w:rFonts w:hint="default" w:ascii="Times New Roman" w:hAnsi="Times New Roman" w:cs="Times New Roman"/>
          <w:lang w:val="en-US" w:eastAsia="zh-CN"/>
        </w:rPr>
        <w:t>中毒和灼烫</w:t>
      </w:r>
      <w:r>
        <w:rPr>
          <w:rFonts w:hint="default" w:ascii="Times New Roman" w:hAnsi="Times New Roman" w:cs="Times New Roman"/>
        </w:rPr>
        <w:t>事故，可能导致人员伤亡或财产损失；</w:t>
      </w:r>
    </w:p>
    <w:p>
      <w:pPr>
        <w:ind w:firstLine="560" w:firstLineChars="20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sz w:val="28"/>
          <w:szCs w:val="28"/>
        </w:rPr>
        <w:t>受限空间场所有毒物达到致死浓度，可能导致人员伤亡。</w:t>
      </w:r>
    </w:p>
    <w:p>
      <w:pPr>
        <w:ind w:firstLine="560" w:firstLineChars="200"/>
        <w:rPr>
          <w:rFonts w:hint="default" w:ascii="Times New Roman" w:hAnsi="Times New Roman" w:cs="Times New Roman"/>
        </w:rPr>
      </w:pPr>
      <w:r>
        <w:rPr>
          <w:rFonts w:hint="default" w:ascii="Times New Roman" w:hAnsi="Times New Roman" w:cs="Times New Roman"/>
        </w:rPr>
        <w:t>二、事故引发的原因</w:t>
      </w:r>
    </w:p>
    <w:p>
      <w:pPr>
        <w:ind w:firstLine="560" w:firstLineChars="200"/>
        <w:rPr>
          <w:rFonts w:hint="default" w:ascii="Times New Roman" w:hAnsi="Times New Roman" w:cs="Times New Roman"/>
        </w:rPr>
      </w:pPr>
      <w:r>
        <w:rPr>
          <w:rFonts w:hint="default" w:ascii="Times New Roman" w:hAnsi="Times New Roman" w:cs="Times New Roman"/>
        </w:rPr>
        <w:t>1、阀门、法兰发生泄漏。</w:t>
      </w:r>
    </w:p>
    <w:p>
      <w:pPr>
        <w:ind w:firstLine="560" w:firstLineChars="200"/>
        <w:rPr>
          <w:rFonts w:hint="default" w:ascii="Times New Roman" w:hAnsi="Times New Roman" w:cs="Times New Roman"/>
        </w:rPr>
      </w:pPr>
      <w:r>
        <w:rPr>
          <w:rFonts w:hint="default" w:ascii="Times New Roman" w:hAnsi="Times New Roman" w:cs="Times New Roman"/>
        </w:rPr>
        <w:t>2、压力超标。</w:t>
      </w:r>
    </w:p>
    <w:p>
      <w:pPr>
        <w:ind w:firstLine="560" w:firstLineChars="200"/>
        <w:rPr>
          <w:rFonts w:hint="default" w:ascii="Times New Roman" w:hAnsi="Times New Roman" w:cs="Times New Roman"/>
        </w:rPr>
      </w:pPr>
      <w:r>
        <w:rPr>
          <w:rFonts w:hint="default" w:ascii="Times New Roman" w:hAnsi="Times New Roman" w:cs="Times New Roman"/>
        </w:rPr>
        <w:t>3、储罐、设备、管道等因材质或腐蚀等原因发生破裂，造成大量泄漏。</w:t>
      </w:r>
    </w:p>
    <w:p>
      <w:pPr>
        <w:ind w:firstLine="560" w:firstLineChars="200"/>
        <w:rPr>
          <w:rFonts w:hint="default" w:ascii="Times New Roman" w:hAnsi="Times New Roman" w:cs="Times New Roman"/>
        </w:rPr>
      </w:pPr>
      <w:r>
        <w:rPr>
          <w:rFonts w:hint="default" w:ascii="Times New Roman" w:hAnsi="Times New Roman" w:cs="Times New Roman"/>
        </w:rPr>
        <w:t>4、检修过程中，对储罐、设备、管道未彻底置换。</w:t>
      </w:r>
    </w:p>
    <w:p>
      <w:pPr>
        <w:ind w:firstLine="560" w:firstLineChars="200"/>
        <w:rPr>
          <w:rFonts w:hint="default" w:ascii="Times New Roman" w:hAnsi="Times New Roman" w:cs="Times New Roman"/>
        </w:rPr>
      </w:pPr>
      <w:r>
        <w:rPr>
          <w:rFonts w:hint="default" w:ascii="Times New Roman" w:hAnsi="Times New Roman" w:cs="Times New Roman"/>
        </w:rPr>
        <w:t>5、物料装卸过程中发生泄漏。</w:t>
      </w:r>
    </w:p>
    <w:p>
      <w:pPr>
        <w:ind w:firstLine="560" w:firstLineChars="200"/>
        <w:rPr>
          <w:rFonts w:hint="default" w:ascii="Times New Roman" w:hAnsi="Times New Roman" w:cs="Times New Roman"/>
        </w:rPr>
      </w:pPr>
      <w:r>
        <w:rPr>
          <w:rFonts w:hint="default" w:ascii="Times New Roman" w:hAnsi="Times New Roman" w:cs="Times New Roman"/>
        </w:rPr>
        <w:t>6、物料未进行计量造成憋压。</w:t>
      </w:r>
    </w:p>
    <w:p>
      <w:pPr>
        <w:ind w:firstLine="560" w:firstLineChars="200"/>
        <w:rPr>
          <w:rFonts w:hint="default" w:ascii="Times New Roman" w:hAnsi="Times New Roman" w:cs="Times New Roman"/>
        </w:rPr>
      </w:pPr>
      <w:r>
        <w:rPr>
          <w:rFonts w:hint="default" w:ascii="Times New Roman" w:hAnsi="Times New Roman" w:cs="Times New Roman"/>
        </w:rPr>
        <w:t>7、操作不符合安全规程，致使装置或管道内压力不稳定，控制联锁失灵，超压或剧烈振动，造成其损坏而发生泄漏。</w:t>
      </w:r>
    </w:p>
    <w:p>
      <w:pPr>
        <w:ind w:firstLine="560" w:firstLineChars="200"/>
        <w:rPr>
          <w:rFonts w:hint="default" w:ascii="Times New Roman" w:hAnsi="Times New Roman" w:cs="Times New Roman"/>
        </w:rPr>
      </w:pPr>
      <w:r>
        <w:rPr>
          <w:rFonts w:hint="default" w:ascii="Times New Roman" w:hAnsi="Times New Roman" w:cs="Times New Roman"/>
        </w:rPr>
        <w:t>8、自然不可抗拒力，如强台风、地质灾害等。</w:t>
      </w:r>
    </w:p>
    <w:p>
      <w:pPr>
        <w:ind w:firstLine="560" w:firstLineChars="200"/>
        <w:rPr>
          <w:rFonts w:hint="default" w:ascii="Times New Roman" w:hAnsi="Times New Roman" w:cs="Times New Roman"/>
        </w:rPr>
      </w:pPr>
      <w:r>
        <w:rPr>
          <w:rFonts w:hint="default" w:ascii="Times New Roman" w:hAnsi="Times New Roman" w:cs="Times New Roman"/>
        </w:rPr>
        <w:t>三、重大事故模拟分析</w:t>
      </w:r>
    </w:p>
    <w:p>
      <w:pPr>
        <w:ind w:firstLine="560" w:firstLineChars="200"/>
        <w:rPr>
          <w:rFonts w:hint="default" w:ascii="Times New Roman" w:hAnsi="Times New Roman" w:cs="Times New Roman"/>
        </w:rPr>
      </w:pPr>
      <w:r>
        <w:rPr>
          <w:rFonts w:hint="default" w:ascii="Times New Roman" w:hAnsi="Times New Roman" w:cs="Times New Roman"/>
        </w:rPr>
        <w:t>根据重大危险源区域定量风险评价软件进行定量风险评价，可能发生的危险化学品事故的预测后果见表8-1。</w:t>
      </w:r>
    </w:p>
    <w:p>
      <w:pPr>
        <w:pStyle w:val="3"/>
        <w:rPr>
          <w:rFonts w:hint="default" w:ascii="Times New Roman" w:hAnsi="Times New Roman" w:cs="Times New Roman"/>
        </w:rPr>
      </w:pPr>
      <w:r>
        <w:rPr>
          <w:rFonts w:hint="default" w:ascii="Times New Roman" w:hAnsi="Times New Roman" w:cs="Times New Roman"/>
        </w:rPr>
        <w:br w:type="page"/>
      </w:r>
      <w:bookmarkStart w:id="85" w:name="_Toc15541"/>
      <w:r>
        <w:rPr>
          <w:rFonts w:hint="default" w:ascii="Times New Roman" w:hAnsi="Times New Roman" w:cs="Times New Roman"/>
        </w:rPr>
        <w:t>9安全条件和安全生产条件的分析结果</w:t>
      </w:r>
      <w:bookmarkEnd w:id="85"/>
    </w:p>
    <w:p>
      <w:pPr>
        <w:pStyle w:val="4"/>
        <w:rPr>
          <w:rFonts w:hint="default" w:ascii="Times New Roman" w:hAnsi="Times New Roman" w:cs="Times New Roman"/>
        </w:rPr>
      </w:pPr>
      <w:bookmarkStart w:id="86" w:name="_Toc13984"/>
      <w:r>
        <w:rPr>
          <w:rFonts w:hint="default" w:ascii="Times New Roman" w:hAnsi="Times New Roman" w:cs="Times New Roman"/>
        </w:rPr>
        <w:t>9.1评价项目的安全条件</w:t>
      </w:r>
      <w:bookmarkEnd w:id="86"/>
    </w:p>
    <w:p>
      <w:pPr>
        <w:pStyle w:val="5"/>
        <w:ind w:left="560"/>
        <w:rPr>
          <w:rFonts w:hint="default" w:ascii="Times New Roman" w:hAnsi="Times New Roman" w:cs="Times New Roman"/>
        </w:rPr>
      </w:pPr>
      <w:r>
        <w:rPr>
          <w:rFonts w:hint="default" w:ascii="Times New Roman" w:hAnsi="Times New Roman" w:cs="Times New Roman"/>
        </w:rPr>
        <w:t>9.1.1企业的危险、有害因素对企业周边环境的影响</w:t>
      </w:r>
    </w:p>
    <w:p>
      <w:pPr>
        <w:ind w:firstLine="560" w:firstLineChars="200"/>
        <w:rPr>
          <w:rFonts w:hint="default" w:ascii="Times New Roman" w:hAnsi="Times New Roman" w:cs="Times New Roman"/>
        </w:rPr>
      </w:pPr>
      <w:r>
        <w:rPr>
          <w:rFonts w:hint="default" w:ascii="Times New Roman" w:hAnsi="Times New Roman" w:cs="Times New Roman"/>
        </w:rPr>
        <w:t>该公司在役生产装置主要存在的危险有害因素为</w:t>
      </w:r>
      <w:r>
        <w:rPr>
          <w:rFonts w:hint="default" w:ascii="Times New Roman" w:hAnsi="Times New Roman" w:cs="Times New Roman"/>
          <w:lang w:val="en-US" w:eastAsia="zh-CN"/>
        </w:rPr>
        <w:t>中毒和窒息、灼烫</w:t>
      </w:r>
      <w:r>
        <w:rPr>
          <w:rFonts w:hint="default" w:ascii="Times New Roman" w:hAnsi="Times New Roman" w:cs="Times New Roman"/>
        </w:rPr>
        <w:t>，此外还存在触电、</w:t>
      </w:r>
      <w:r>
        <w:rPr>
          <w:rFonts w:hint="default" w:ascii="Times New Roman" w:hAnsi="Times New Roman" w:cs="Times New Roman"/>
          <w:lang w:val="en-US" w:eastAsia="zh-CN"/>
        </w:rPr>
        <w:t>火灾、</w:t>
      </w:r>
      <w:r>
        <w:rPr>
          <w:rFonts w:hint="default" w:ascii="Times New Roman" w:hAnsi="Times New Roman" w:cs="Times New Roman"/>
        </w:rPr>
        <w:t>容器爆炸、机械伤害、物体打击、高处坠落、车辆伤害、起重伤害、淹溺及粉尘、噪声、高温热辐射等危险、有害因素。该公司对周边单位生产经营活动或者居民生活影响的事故主要有火灾、爆炸。</w:t>
      </w:r>
    </w:p>
    <w:p>
      <w:pPr>
        <w:ind w:firstLine="560" w:firstLineChars="200"/>
        <w:rPr>
          <w:rFonts w:hint="default" w:ascii="Times New Roman" w:hAnsi="Times New Roman" w:cs="Times New Roman"/>
        </w:rPr>
      </w:pPr>
      <w:r>
        <w:rPr>
          <w:rFonts w:hint="default" w:ascii="Times New Roman" w:hAnsi="Times New Roman" w:cs="Times New Roman"/>
          <w:lang w:eastAsia="zh-CN"/>
        </w:rPr>
        <w:t>上饶市广氟医药化工有限公司</w:t>
      </w:r>
      <w:r>
        <w:rPr>
          <w:rFonts w:hint="default" w:ascii="Times New Roman" w:hAnsi="Times New Roman" w:cs="Times New Roman"/>
        </w:rPr>
        <w:t>位于上饶高新技术产业园区，项目周边500m范围内无基本草原、畜禽遗传资源保护区、畜禽规模化养殖场（养殖小区）、渔业水域以及种子、种畜禽、水产苗种生产基地；项目周边1000m范围内无风景名胜区和自然保护区。项目周边无军事禁区、军事管理区；项目周边无法律、行政法规规定予以保护的其他区域。</w:t>
      </w:r>
    </w:p>
    <w:p>
      <w:pPr>
        <w:ind w:firstLine="560" w:firstLineChars="200"/>
        <w:rPr>
          <w:rFonts w:hint="default" w:ascii="Times New Roman" w:hAnsi="Times New Roman" w:cs="Times New Roman"/>
        </w:rPr>
      </w:pPr>
      <w:r>
        <w:rPr>
          <w:rFonts w:hint="default" w:ascii="Times New Roman" w:hAnsi="Times New Roman" w:cs="Times New Roman"/>
        </w:rPr>
        <w:t>对于“三废”，采取相关措施进行处理后再进行排放，已通过环保部门验收。</w:t>
      </w:r>
    </w:p>
    <w:p>
      <w:pPr>
        <w:ind w:firstLine="560" w:firstLineChars="200"/>
        <w:rPr>
          <w:rFonts w:hint="default" w:ascii="Times New Roman" w:hAnsi="Times New Roman" w:cs="Times New Roman"/>
        </w:rPr>
      </w:pPr>
      <w:r>
        <w:rPr>
          <w:rFonts w:hint="default" w:ascii="Times New Roman" w:hAnsi="Times New Roman" w:cs="Times New Roman"/>
        </w:rPr>
        <w:t>厂内主要噪声源为空压机及泵类，对空压机及泵类进行必要的降噪处理以及有效的隔音消声措施，保证其达到《工业企业厂界噪声标准》之规定。</w:t>
      </w:r>
    </w:p>
    <w:p>
      <w:pPr>
        <w:ind w:firstLine="560" w:firstLineChars="200"/>
        <w:rPr>
          <w:rFonts w:hint="default" w:ascii="Times New Roman" w:hAnsi="Times New Roman" w:cs="Times New Roman"/>
        </w:rPr>
      </w:pPr>
      <w:r>
        <w:rPr>
          <w:rFonts w:hint="default" w:ascii="Times New Roman" w:hAnsi="Times New Roman" w:cs="Times New Roman"/>
        </w:rPr>
        <w:t>该公司设置相应容量的事故池、污水池，以免污染周围水体环境。</w:t>
      </w:r>
    </w:p>
    <w:p>
      <w:pPr>
        <w:ind w:firstLine="560" w:firstLineChars="200"/>
        <w:rPr>
          <w:rFonts w:hint="default" w:ascii="Times New Roman" w:hAnsi="Times New Roman" w:cs="Times New Roman"/>
        </w:rPr>
      </w:pPr>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rPr>
        <w:t>建构筑物与周边企业、环境敏感点等场所、设施间距符合要求，与周边企业、公路、铁路的距离符合相关《建筑设计防火规范》GB50016-2014（2018版）、《公路安全保护条例》的要求。</w:t>
      </w:r>
    </w:p>
    <w:p>
      <w:pPr>
        <w:ind w:firstLine="560" w:firstLineChars="200"/>
        <w:rPr>
          <w:rFonts w:hint="default" w:ascii="Times New Roman" w:hAnsi="Times New Roman" w:cs="Times New Roman"/>
        </w:rPr>
      </w:pPr>
      <w:r>
        <w:rPr>
          <w:rFonts w:hint="default" w:ascii="Times New Roman" w:hAnsi="Times New Roman" w:cs="Times New Roman"/>
        </w:rPr>
        <w:t>综上所述，该公司在正常生产情况下，对其周边环境不会产生影响。</w:t>
      </w:r>
    </w:p>
    <w:p>
      <w:pPr>
        <w:pStyle w:val="5"/>
        <w:ind w:left="0" w:leftChars="0"/>
        <w:rPr>
          <w:rFonts w:hint="default" w:ascii="Times New Roman" w:hAnsi="Times New Roman" w:cs="Times New Roman"/>
        </w:rPr>
      </w:pPr>
      <w:r>
        <w:rPr>
          <w:rFonts w:hint="default" w:ascii="Times New Roman" w:hAnsi="Times New Roman" w:cs="Times New Roman"/>
        </w:rPr>
        <w:t>9.1.2企业周边环境对企业的影响</w:t>
      </w:r>
    </w:p>
    <w:p>
      <w:pPr>
        <w:ind w:firstLine="560" w:firstLineChars="200"/>
        <w:rPr>
          <w:rFonts w:hint="default" w:ascii="Times New Roman" w:hAnsi="Times New Roman" w:cs="Times New Roman"/>
        </w:rPr>
      </w:pPr>
      <w:r>
        <w:rPr>
          <w:rFonts w:hint="default" w:ascii="Times New Roman" w:hAnsi="Times New Roman" w:cs="Times New Roman"/>
          <w:lang w:eastAsia="zh-CN"/>
        </w:rPr>
        <w:t>上饶市广氟医药化工有限公司</w:t>
      </w:r>
      <w:r>
        <w:rPr>
          <w:rFonts w:hint="default" w:ascii="Times New Roman" w:hAnsi="Times New Roman" w:cs="Times New Roman"/>
        </w:rPr>
        <w:t>位于上饶高新技术产业园区内，从2.2.1节周边情况可以看出，周边</w:t>
      </w:r>
      <w:r>
        <w:rPr>
          <w:rFonts w:hint="default" w:ascii="Times New Roman" w:hAnsi="Times New Roman" w:cs="Times New Roman"/>
          <w:lang w:val="en-US" w:eastAsia="zh-CN"/>
        </w:rPr>
        <w:t>主要为</w:t>
      </w:r>
      <w:r>
        <w:rPr>
          <w:rFonts w:hint="default" w:ascii="Times New Roman" w:hAnsi="Times New Roman" w:cs="Times New Roman"/>
        </w:rPr>
        <w:t>企业，园区道路很少有无关居民进入。居民的生产经营活动一般不会对该公司的生产产生影响，但是如果没有健全的安全管理制度和措施，致使外部闲散人员能够随意进入该厂，可能对正常的生产经营活动造成不良影响。企业周边的企业存在火灾的危险因素。企业相互之间由相隔围墙和道路规划布置，相互间在事故状态下会产生一定的影响，会造成停产、停车的影响。有时候会由于事故的波及造成二次事故的发生。</w:t>
      </w:r>
    </w:p>
    <w:p>
      <w:pPr>
        <w:pStyle w:val="5"/>
        <w:ind w:left="0" w:leftChars="0"/>
        <w:rPr>
          <w:rFonts w:hint="default" w:ascii="Times New Roman" w:hAnsi="Times New Roman" w:cs="Times New Roman"/>
        </w:rPr>
      </w:pPr>
      <w:r>
        <w:rPr>
          <w:rFonts w:hint="default" w:ascii="Times New Roman" w:hAnsi="Times New Roman" w:cs="Times New Roman"/>
        </w:rPr>
        <w:t>9.1.3自然条件对企业的影响</w:t>
      </w:r>
    </w:p>
    <w:p>
      <w:pPr>
        <w:ind w:firstLine="560" w:firstLineChars="200"/>
        <w:rPr>
          <w:rFonts w:hint="default" w:ascii="Times New Roman" w:hAnsi="Times New Roman" w:cs="Times New Roman"/>
        </w:rPr>
      </w:pPr>
      <w:r>
        <w:rPr>
          <w:rFonts w:hint="default" w:ascii="Times New Roman" w:hAnsi="Times New Roman" w:cs="Times New Roman"/>
        </w:rPr>
        <w:t>自然条件对该公司的影响因素主要包括地震、不良地质、暑热、冬季低温、雷击、洪水、内涝等因素。其中最主要的因素是地震、不良地质及雷击。</w:t>
      </w:r>
    </w:p>
    <w:p>
      <w:pPr>
        <w:numPr>
          <w:ilvl w:val="0"/>
          <w:numId w:val="20"/>
        </w:numPr>
        <w:ind w:firstLine="560" w:firstLineChars="200"/>
        <w:rPr>
          <w:rFonts w:hint="default" w:ascii="Times New Roman" w:hAnsi="Times New Roman" w:cs="Times New Roman"/>
        </w:rPr>
      </w:pPr>
      <w:r>
        <w:rPr>
          <w:rFonts w:hint="default" w:ascii="Times New Roman" w:hAnsi="Times New Roman" w:cs="Times New Roman"/>
        </w:rPr>
        <w:t>项目为防暑热，在生产岗位应采取防暑降温措施；所在地极端最高气温为</w:t>
      </w:r>
      <w:r>
        <w:rPr>
          <w:rFonts w:hint="default" w:ascii="Times New Roman" w:hAnsi="Times New Roman" w:cs="Times New Roman"/>
          <w:lang w:eastAsia="zh-CN"/>
        </w:rPr>
        <w:t>40.5℃</w:t>
      </w:r>
      <w:r>
        <w:rPr>
          <w:rFonts w:hint="default" w:ascii="Times New Roman" w:hAnsi="Times New Roman" w:cs="Times New Roman"/>
        </w:rPr>
        <w:t>，高温天气会加大生产物料挥发性，对生产储存装置会造成影响，散发的</w:t>
      </w:r>
      <w:r>
        <w:rPr>
          <w:rFonts w:hint="default" w:ascii="Times New Roman" w:hAnsi="Times New Roman" w:cs="Times New Roman"/>
          <w:lang w:val="en-US" w:eastAsia="zh-CN"/>
        </w:rPr>
        <w:t>有毒物料</w:t>
      </w:r>
      <w:r>
        <w:rPr>
          <w:rFonts w:hint="default" w:ascii="Times New Roman" w:hAnsi="Times New Roman" w:cs="Times New Roman"/>
        </w:rPr>
        <w:t>易</w:t>
      </w:r>
      <w:r>
        <w:rPr>
          <w:rFonts w:hint="default" w:ascii="Times New Roman" w:hAnsi="Times New Roman" w:cs="Times New Roman"/>
          <w:lang w:val="en-US" w:eastAsia="zh-CN"/>
        </w:rPr>
        <w:t>堆积</w:t>
      </w:r>
      <w:r>
        <w:rPr>
          <w:rFonts w:hint="default" w:ascii="Times New Roman" w:hAnsi="Times New Roman" w:cs="Times New Roman"/>
        </w:rPr>
        <w:t>引发</w:t>
      </w:r>
      <w:r>
        <w:rPr>
          <w:rFonts w:hint="default" w:ascii="Times New Roman" w:hAnsi="Times New Roman" w:cs="Times New Roman"/>
          <w:lang w:val="en-US" w:eastAsia="zh-CN"/>
        </w:rPr>
        <w:t>中毒和窒息</w:t>
      </w:r>
      <w:r>
        <w:rPr>
          <w:rFonts w:hint="default" w:ascii="Times New Roman" w:hAnsi="Times New Roman" w:cs="Times New Roman"/>
        </w:rPr>
        <w:t>及其他事故。该公司所在地极端最低气温为</w:t>
      </w:r>
      <w:r>
        <w:rPr>
          <w:rFonts w:hint="default" w:ascii="Times New Roman" w:hAnsi="Times New Roman" w:cs="Times New Roman"/>
          <w:lang w:eastAsia="zh-CN"/>
        </w:rPr>
        <w:t>-9.1℃</w:t>
      </w:r>
      <w:r>
        <w:rPr>
          <w:rFonts w:hint="default" w:ascii="Times New Roman" w:hAnsi="Times New Roman" w:cs="Times New Roman"/>
        </w:rPr>
        <w:t>，对主体工程无影响，可能因低温冰冻对水管等冻结而造成破裂导致循环水不畅，楼梯打滑造成人员摔跌等。但由于该公司地处江西东部，冰冻期较短，随着气候条件的变化，个别或少数年份甚至未出现冰冻现象。因此，冰冻对该公司的影响较小。</w:t>
      </w:r>
    </w:p>
    <w:p>
      <w:pPr>
        <w:numPr>
          <w:ilvl w:val="0"/>
          <w:numId w:val="20"/>
        </w:numPr>
        <w:ind w:firstLine="560" w:firstLineChars="200"/>
        <w:rPr>
          <w:rFonts w:hint="default" w:ascii="Times New Roman" w:hAnsi="Times New Roman" w:cs="Times New Roman"/>
        </w:rPr>
      </w:pPr>
      <w:r>
        <w:rPr>
          <w:rFonts w:hint="default" w:ascii="Times New Roman" w:hAnsi="Times New Roman" w:cs="Times New Roman"/>
        </w:rPr>
        <w:t>该公司地势较为平坦，厂区设有排水管网，可确保场地遇水顺利排除。该公司所在地年平均降水量为1626.9mm，最大降水量为2446.9mm，在4～7月常有暴雨，其中6月发生暴雨的几率最大。暴雨发生的同时相应也会产生洪水。暴雨和洪水出现的机会多，为了防止内涝及时排出雨水，避免积水毁坏设备厂房，在厂区内设相应的场地雨水排除系统。</w:t>
      </w:r>
    </w:p>
    <w:p>
      <w:pPr>
        <w:numPr>
          <w:ilvl w:val="0"/>
          <w:numId w:val="20"/>
        </w:numPr>
        <w:ind w:firstLine="560" w:firstLineChars="200"/>
        <w:rPr>
          <w:rFonts w:hint="default" w:ascii="Times New Roman" w:hAnsi="Times New Roman" w:cs="Times New Roman"/>
        </w:rPr>
      </w:pPr>
      <w:r>
        <w:rPr>
          <w:rFonts w:hint="default" w:ascii="Times New Roman" w:hAnsi="Times New Roman" w:cs="Times New Roman"/>
        </w:rPr>
        <w:t>建筑场地平坦、开阔且已经人工平整，地层分布较为均匀，地基土均具有一定的承载能力。</w:t>
      </w:r>
    </w:p>
    <w:p>
      <w:pPr>
        <w:numPr>
          <w:ilvl w:val="0"/>
          <w:numId w:val="20"/>
        </w:numPr>
        <w:ind w:firstLine="560" w:firstLineChars="200"/>
        <w:rPr>
          <w:rFonts w:hint="default" w:ascii="Times New Roman" w:hAnsi="Times New Roman" w:cs="Times New Roman"/>
        </w:rPr>
      </w:pPr>
      <w:r>
        <w:rPr>
          <w:rFonts w:hint="default" w:ascii="Times New Roman" w:hAnsi="Times New Roman" w:cs="Times New Roman"/>
        </w:rPr>
        <w:t>该公司厂址所在地的地形平坦，年平均雷暴日数为65天，每年的4-8月是雷暴的多发月份，每天的雷电又多发于午后到傍晚。雷击可能造成设备损坏和人员伤亡，也能引发可燃物质发生火灾、爆炸事故，同时雷击可使电气出现故障或损坏电气设备，造成全厂或局部停电，引发事故。该公司各种建构筑物及主要设备均按规范要求采取相应的防雷措施，防止雷击造成的危害。该公司防静电，防雷及设备安全等接地，厂区内的所有支架、容器均做防静电接地。</w:t>
      </w:r>
    </w:p>
    <w:p>
      <w:pPr>
        <w:numPr>
          <w:ilvl w:val="0"/>
          <w:numId w:val="20"/>
        </w:numPr>
        <w:ind w:firstLine="560" w:firstLineChars="200"/>
        <w:rPr>
          <w:rFonts w:hint="default" w:ascii="Times New Roman" w:hAnsi="Times New Roman" w:cs="Times New Roman"/>
        </w:rPr>
      </w:pPr>
      <w:r>
        <w:rPr>
          <w:rFonts w:hint="default" w:ascii="Times New Roman" w:hAnsi="Times New Roman" w:cs="Times New Roman"/>
        </w:rPr>
        <w:t>公司所在地年平均风速为</w:t>
      </w:r>
      <w:r>
        <w:rPr>
          <w:rFonts w:hint="default" w:ascii="Times New Roman" w:hAnsi="Times New Roman" w:cs="Times New Roman"/>
          <w:lang w:val="en-US" w:eastAsia="zh-CN"/>
        </w:rPr>
        <w:t>2</w:t>
      </w:r>
      <w:r>
        <w:rPr>
          <w:rFonts w:hint="default" w:ascii="Times New Roman" w:hAnsi="Times New Roman" w:cs="Times New Roman"/>
        </w:rPr>
        <w:t>m/s，最大风速为</w:t>
      </w:r>
      <w:r>
        <w:rPr>
          <w:rFonts w:hint="default" w:ascii="Times New Roman" w:hAnsi="Times New Roman" w:cs="Times New Roman"/>
          <w:lang w:val="en-US" w:eastAsia="zh-CN"/>
        </w:rPr>
        <w:t>15</w:t>
      </w:r>
      <w:r>
        <w:rPr>
          <w:rFonts w:hint="default" w:ascii="Times New Roman" w:hAnsi="Times New Roman" w:cs="Times New Roman"/>
        </w:rPr>
        <w:t>m/s，该公司建筑物均按照规范设计和建设，风力影响不大。但如遭遇极端大风天气，则会有一定影响。</w:t>
      </w:r>
    </w:p>
    <w:p>
      <w:pPr>
        <w:numPr>
          <w:ilvl w:val="0"/>
          <w:numId w:val="20"/>
        </w:numPr>
        <w:ind w:firstLine="560" w:firstLineChars="200"/>
        <w:rPr>
          <w:rFonts w:hint="default" w:ascii="Times New Roman" w:hAnsi="Times New Roman" w:cs="Times New Roman"/>
        </w:rPr>
      </w:pPr>
      <w:r>
        <w:rPr>
          <w:rFonts w:hint="default" w:ascii="Times New Roman" w:hAnsi="Times New Roman" w:cs="Times New Roman"/>
        </w:rPr>
        <w:t>根据《中国地震动参数区划图》（GB18306-2015），该地区地震动峰值加速度为0.05g，对照地震烈度为6度，该</w:t>
      </w:r>
      <w:r>
        <w:rPr>
          <w:rFonts w:hint="eastAsia" w:cs="Times New Roman"/>
          <w:lang w:val="en-US" w:eastAsia="zh-CN"/>
        </w:rPr>
        <w:t>企业</w:t>
      </w:r>
      <w:r>
        <w:rPr>
          <w:rFonts w:hint="default" w:ascii="Times New Roman" w:hAnsi="Times New Roman" w:cs="Times New Roman"/>
        </w:rPr>
        <w:t>按6度设防。</w:t>
      </w:r>
    </w:p>
    <w:p>
      <w:pPr>
        <w:numPr>
          <w:ilvl w:val="0"/>
          <w:numId w:val="20"/>
        </w:numPr>
        <w:ind w:firstLine="560" w:firstLineChars="200"/>
        <w:rPr>
          <w:rFonts w:hint="default" w:ascii="Times New Roman" w:hAnsi="Times New Roman" w:cs="Times New Roman"/>
        </w:rPr>
      </w:pPr>
      <w:r>
        <w:rPr>
          <w:rFonts w:hint="default" w:ascii="Times New Roman" w:hAnsi="Times New Roman" w:cs="Times New Roman"/>
        </w:rPr>
        <w:t>厂址所在地无泥石流及地面塌陷等地质现象。</w:t>
      </w:r>
    </w:p>
    <w:p>
      <w:pPr>
        <w:ind w:firstLine="560" w:firstLineChars="200"/>
        <w:rPr>
          <w:rFonts w:hint="default" w:ascii="Times New Roman" w:hAnsi="Times New Roman" w:cs="Times New Roman"/>
        </w:rPr>
      </w:pPr>
      <w:r>
        <w:rPr>
          <w:rFonts w:hint="default" w:ascii="Times New Roman" w:hAnsi="Times New Roman" w:cs="Times New Roman"/>
        </w:rPr>
        <w:t>综上所述，自然危害因素的发生是不可避免的，因为它是自然形成的。正常情况下，自然条件对该公司无不良影响。</w:t>
      </w:r>
    </w:p>
    <w:p>
      <w:pPr>
        <w:pStyle w:val="4"/>
        <w:rPr>
          <w:rFonts w:hint="default" w:ascii="Times New Roman" w:hAnsi="Times New Roman" w:cs="Times New Roman"/>
        </w:rPr>
      </w:pPr>
      <w:bookmarkStart w:id="87" w:name="_Toc16790"/>
      <w:r>
        <w:rPr>
          <w:rFonts w:hint="default" w:ascii="Times New Roman" w:hAnsi="Times New Roman" w:cs="Times New Roman"/>
        </w:rPr>
        <w:t>9.2安全生产条件的分析</w:t>
      </w:r>
      <w:bookmarkEnd w:id="87"/>
    </w:p>
    <w:p>
      <w:pPr>
        <w:pStyle w:val="5"/>
        <w:ind w:left="0" w:leftChars="0"/>
        <w:rPr>
          <w:rFonts w:hint="default" w:ascii="Times New Roman" w:hAnsi="Times New Roman" w:cs="Times New Roman"/>
        </w:rPr>
      </w:pPr>
      <w:r>
        <w:rPr>
          <w:rFonts w:hint="default" w:ascii="Times New Roman" w:hAnsi="Times New Roman" w:cs="Times New Roman"/>
        </w:rPr>
        <w:t>9.2.1管理层</w:t>
      </w:r>
    </w:p>
    <w:p>
      <w:pPr>
        <w:ind w:firstLine="560" w:firstLineChars="200"/>
        <w:rPr>
          <w:rFonts w:hint="default" w:ascii="Times New Roman" w:hAnsi="Times New Roman" w:cs="Times New Roman"/>
        </w:rPr>
      </w:pPr>
      <w:r>
        <w:rPr>
          <w:rFonts w:hint="default" w:ascii="Times New Roman" w:hAnsi="Times New Roman" w:cs="Times New Roman"/>
        </w:rPr>
        <w:t>1、全员安全生产责任制情况</w:t>
      </w:r>
    </w:p>
    <w:p>
      <w:pPr>
        <w:ind w:firstLine="560" w:firstLineChars="200"/>
        <w:rPr>
          <w:rFonts w:hint="default" w:ascii="Times New Roman" w:hAnsi="Times New Roman" w:cs="Times New Roman"/>
        </w:rPr>
      </w:pPr>
      <w:r>
        <w:rPr>
          <w:rFonts w:hint="default" w:ascii="Times New Roman" w:hAnsi="Times New Roman" w:cs="Times New Roman"/>
        </w:rPr>
        <w:t>该公司在“安全第一，预防为主，综合治理”的安全生产方针指导下，执行厂级、车间级、班组级三级安全管理体制，明确法定代表人是企业安全生产的第一责任人，对安全生产工作负全面领导责任；企业的各级部门领导和专职安全管理人员为安全生产的具体责任人，对安全生产工作负具体领导责任；并规定车间配备兼职安全员，协助厂领导对车间、班组的安全生产工作实施监督、检查、协调与领导，建立了“纵到底、横到边”的安全生产保证体系。该公司根据企业实际制定各级部门、人员安全生产责任制，生产责任制详细情况见2.6.4节。</w:t>
      </w:r>
    </w:p>
    <w:p>
      <w:pPr>
        <w:ind w:firstLine="560" w:firstLineChars="200"/>
        <w:rPr>
          <w:rFonts w:hint="default" w:ascii="Times New Roman" w:hAnsi="Times New Roman" w:cs="Times New Roman"/>
        </w:rPr>
      </w:pPr>
      <w:r>
        <w:rPr>
          <w:rFonts w:hint="default" w:ascii="Times New Roman" w:hAnsi="Times New Roman" w:cs="Times New Roman"/>
        </w:rPr>
        <w:t>2、生产管理制度及其持续改进情况</w:t>
      </w:r>
    </w:p>
    <w:p>
      <w:pPr>
        <w:ind w:firstLine="560" w:firstLineChars="200"/>
        <w:rPr>
          <w:rFonts w:hint="default" w:ascii="Times New Roman" w:hAnsi="Times New Roman" w:cs="Times New Roman"/>
        </w:rPr>
      </w:pPr>
      <w:r>
        <w:rPr>
          <w:rFonts w:hint="default" w:ascii="Times New Roman" w:hAnsi="Times New Roman" w:cs="Times New Roman"/>
        </w:rPr>
        <w:t>该公司根据企业实际情况现已建立健全安全生产管理规章制度，制定安全生产管理规章制度及规定。安全生产管理制度详细情况见2.6.4节。</w:t>
      </w:r>
    </w:p>
    <w:p>
      <w:pPr>
        <w:ind w:firstLine="560" w:firstLineChars="200"/>
        <w:rPr>
          <w:rFonts w:hint="default" w:ascii="Times New Roman" w:hAnsi="Times New Roman" w:cs="Times New Roman"/>
        </w:rPr>
      </w:pPr>
      <w:r>
        <w:rPr>
          <w:rFonts w:hint="default" w:ascii="Times New Roman" w:hAnsi="Times New Roman" w:cs="Times New Roman"/>
        </w:rPr>
        <w:t>该公司安全生产管理规章制度的建立和生产执行情况符合安全生产法的要求，满足安全生产需要。</w:t>
      </w:r>
    </w:p>
    <w:p>
      <w:pPr>
        <w:ind w:firstLine="560" w:firstLineChars="200"/>
        <w:rPr>
          <w:rFonts w:hint="default" w:ascii="Times New Roman" w:hAnsi="Times New Roman" w:cs="Times New Roman"/>
        </w:rPr>
      </w:pPr>
      <w:r>
        <w:rPr>
          <w:rFonts w:hint="default" w:ascii="Times New Roman" w:hAnsi="Times New Roman" w:cs="Times New Roman"/>
        </w:rPr>
        <w:t>3、分析岗位安全操作规程及其持续改进情况</w:t>
      </w:r>
    </w:p>
    <w:p>
      <w:pPr>
        <w:ind w:firstLine="560" w:firstLineChars="200"/>
        <w:rPr>
          <w:rFonts w:hint="default" w:ascii="Times New Roman" w:hAnsi="Times New Roman" w:cs="Times New Roman"/>
        </w:rPr>
      </w:pPr>
      <w:r>
        <w:rPr>
          <w:rFonts w:hint="default" w:ascii="Times New Roman" w:hAnsi="Times New Roman" w:cs="Times New Roman"/>
        </w:rPr>
        <w:t>该公司根据车间、岗位及工种情况制订了岗位安全操作规程，岗位安全操作规程详细情况见2.6.4节。</w:t>
      </w:r>
    </w:p>
    <w:p>
      <w:pPr>
        <w:ind w:firstLine="560" w:firstLineChars="200"/>
        <w:rPr>
          <w:rFonts w:hint="default" w:ascii="Times New Roman" w:hAnsi="Times New Roman" w:cs="Times New Roman"/>
        </w:rPr>
      </w:pPr>
      <w:r>
        <w:rPr>
          <w:rFonts w:hint="default" w:ascii="Times New Roman" w:hAnsi="Times New Roman" w:cs="Times New Roman"/>
        </w:rPr>
        <w:t>该公司根据有关安全的法令、法规等有关规定的要求，针对公司的实际情况，在三年内对该公司的相应的岗位安全操作规程和作业安全规程进行了相应的修订。</w:t>
      </w:r>
    </w:p>
    <w:p>
      <w:pPr>
        <w:ind w:firstLine="560" w:firstLineChars="200"/>
        <w:rPr>
          <w:rFonts w:hint="default" w:ascii="Times New Roman" w:hAnsi="Times New Roman" w:cs="Times New Roman"/>
        </w:rPr>
      </w:pPr>
      <w:r>
        <w:rPr>
          <w:rFonts w:hint="default" w:ascii="Times New Roman" w:hAnsi="Times New Roman" w:cs="Times New Roman"/>
        </w:rPr>
        <w:t>4、安全生产管理机构的设置和专职安全生产管理人员的配备情况</w:t>
      </w:r>
    </w:p>
    <w:p>
      <w:pPr>
        <w:ind w:firstLine="560" w:firstLineChars="200"/>
        <w:rPr>
          <w:rFonts w:hint="default" w:ascii="Times New Roman" w:hAnsi="Times New Roman" w:cs="Times New Roman"/>
        </w:rPr>
      </w:pPr>
      <w:r>
        <w:rPr>
          <w:rFonts w:hint="default" w:ascii="Times New Roman" w:hAnsi="Times New Roman" w:cs="Times New Roman"/>
        </w:rPr>
        <w:t>该公司确立以各行政一把手为各部门（单位）安全生产第一负责人的安全生产管理体制。成立了以公司法人代表为组长的</w:t>
      </w:r>
      <w:r>
        <w:rPr>
          <w:rFonts w:hint="default" w:ascii="Times New Roman" w:hAnsi="Times New Roman" w:cs="Times New Roman"/>
          <w:lang w:eastAsia="zh-CN"/>
        </w:rPr>
        <w:t>安全生产委员会</w:t>
      </w:r>
      <w:r>
        <w:rPr>
          <w:rFonts w:hint="default" w:ascii="Times New Roman" w:hAnsi="Times New Roman" w:cs="Times New Roman"/>
        </w:rPr>
        <w:t>。</w:t>
      </w:r>
      <w:r>
        <w:rPr>
          <w:rFonts w:hint="default" w:ascii="Times New Roman" w:hAnsi="Times New Roman" w:cs="Times New Roman"/>
          <w:lang w:eastAsia="zh-CN"/>
        </w:rPr>
        <w:t>安全生产委员会</w:t>
      </w:r>
      <w:r>
        <w:rPr>
          <w:rFonts w:hint="default" w:ascii="Times New Roman" w:hAnsi="Times New Roman" w:cs="Times New Roman"/>
        </w:rPr>
        <w:t>由企业各部门负责人和安全管理人员组成。</w:t>
      </w:r>
    </w:p>
    <w:p>
      <w:pPr>
        <w:ind w:firstLine="560" w:firstLineChars="200"/>
        <w:rPr>
          <w:rFonts w:hint="default" w:ascii="Times New Roman" w:hAnsi="Times New Roman" w:cs="Times New Roman"/>
        </w:rPr>
      </w:pPr>
      <w:r>
        <w:rPr>
          <w:rFonts w:hint="default" w:ascii="Times New Roman" w:hAnsi="Times New Roman" w:cs="Times New Roman"/>
          <w:lang w:eastAsia="zh-CN"/>
        </w:rPr>
        <w:t>上饶市广氟医药化工有限公司</w:t>
      </w:r>
      <w:r>
        <w:rPr>
          <w:rFonts w:hint="default" w:ascii="Times New Roman" w:hAnsi="Times New Roman" w:cs="Times New Roman"/>
        </w:rPr>
        <w:t>成立了</w:t>
      </w:r>
      <w:r>
        <w:rPr>
          <w:rFonts w:hint="default" w:ascii="Times New Roman" w:hAnsi="Times New Roman" w:cs="Times New Roman"/>
          <w:lang w:eastAsia="zh-CN"/>
        </w:rPr>
        <w:t>安全生产委员会</w:t>
      </w:r>
      <w:r>
        <w:rPr>
          <w:rFonts w:hint="default" w:ascii="Times New Roman" w:hAnsi="Times New Roman" w:cs="Times New Roman"/>
        </w:rPr>
        <w:t>，企业总经理</w:t>
      </w:r>
      <w:r>
        <w:rPr>
          <w:rFonts w:hint="default" w:ascii="Times New Roman" w:hAnsi="Times New Roman" w:cs="Times New Roman"/>
          <w:lang w:eastAsia="zh-CN"/>
        </w:rPr>
        <w:t>孔永明</w:t>
      </w:r>
      <w:r>
        <w:rPr>
          <w:rFonts w:hint="default" w:ascii="Times New Roman" w:hAnsi="Times New Roman" w:cs="Times New Roman"/>
        </w:rPr>
        <w:t>为组长，各部门负责人为成员。公司任命</w:t>
      </w:r>
      <w:r>
        <w:rPr>
          <w:rFonts w:hint="default" w:ascii="Times New Roman" w:hAnsi="Times New Roman" w:cs="Times New Roman"/>
          <w:lang w:eastAsia="zh-CN"/>
        </w:rPr>
        <w:t>刘汉生</w:t>
      </w:r>
      <w:r>
        <w:rPr>
          <w:rFonts w:hint="default" w:ascii="Times New Roman" w:hAnsi="Times New Roman" w:cs="Times New Roman"/>
        </w:rPr>
        <w:t>为专职安全管理人员，车间、班组设有兼职安全员，形成了全方位的安全生产管理网络。公司安全部为公司的安全管理机构，主要负责公司的安全生产工作，该企业主要负责人和安全管理人员共</w:t>
      </w:r>
      <w:r>
        <w:rPr>
          <w:rFonts w:hint="default" w:ascii="Times New Roman" w:hAnsi="Times New Roman" w:cs="Times New Roman"/>
          <w:lang w:val="en-US" w:eastAsia="zh-CN"/>
        </w:rPr>
        <w:t>2</w:t>
      </w:r>
      <w:r>
        <w:rPr>
          <w:rFonts w:hint="default" w:ascii="Times New Roman" w:hAnsi="Times New Roman" w:cs="Times New Roman"/>
        </w:rPr>
        <w:t>人参加并通过了危险化学品安全管理人员考试，获得了</w:t>
      </w:r>
      <w:r>
        <w:rPr>
          <w:rFonts w:hint="default" w:ascii="Times New Roman" w:hAnsi="Times New Roman" w:cs="Times New Roman"/>
          <w:lang w:val="en-US" w:eastAsia="zh-CN"/>
        </w:rPr>
        <w:t>上饶市应急管理局</w:t>
      </w:r>
      <w:r>
        <w:rPr>
          <w:rFonts w:hint="default" w:ascii="Times New Roman" w:hAnsi="Times New Roman" w:cs="Times New Roman"/>
        </w:rPr>
        <w:t>颁发的合格证。该公司专职安全生产管理人员数量能满足相关标准规范的要求。</w:t>
      </w:r>
    </w:p>
    <w:p>
      <w:pPr>
        <w:ind w:firstLine="560" w:firstLineChars="200"/>
        <w:rPr>
          <w:rFonts w:hint="default" w:ascii="Times New Roman" w:hAnsi="Times New Roman" w:cs="Times New Roman"/>
        </w:rPr>
      </w:pPr>
      <w:r>
        <w:rPr>
          <w:rFonts w:hint="default" w:ascii="Times New Roman" w:hAnsi="Times New Roman" w:cs="Times New Roman"/>
        </w:rPr>
        <w:t>5、主要负责人和安全管理人员安全生产知识和管理能力</w:t>
      </w:r>
    </w:p>
    <w:p>
      <w:pPr>
        <w:ind w:firstLine="560" w:firstLineChars="200"/>
        <w:rPr>
          <w:rFonts w:hint="default" w:ascii="Times New Roman" w:hAnsi="Times New Roman" w:cs="Times New Roman"/>
        </w:rPr>
      </w:pPr>
      <w:r>
        <w:rPr>
          <w:rFonts w:hint="default" w:ascii="Times New Roman" w:hAnsi="Times New Roman" w:cs="Times New Roman"/>
        </w:rPr>
        <w:t>该公司主要负责人、专职安全管理人员等均取得了安全生产管理人员资格证书。主要负责人和安全管理人员、其他管理人员均具有多年安全生产管理经验，并按照规定经</w:t>
      </w:r>
      <w:r>
        <w:rPr>
          <w:rFonts w:hint="default" w:ascii="Times New Roman" w:hAnsi="Times New Roman" w:cs="Times New Roman"/>
          <w:lang w:val="en-US" w:eastAsia="zh-CN"/>
        </w:rPr>
        <w:t>当地应急管理局</w:t>
      </w:r>
      <w:r>
        <w:rPr>
          <w:rFonts w:hint="default" w:ascii="Times New Roman" w:hAnsi="Times New Roman" w:cs="Times New Roman"/>
        </w:rPr>
        <w:t>教育、培训均取得了安全生产管理人员资格证书，具备与该公司所从事的生产经营活动相应的安全生产知识和管理能力。</w:t>
      </w:r>
    </w:p>
    <w:p>
      <w:pPr>
        <w:ind w:firstLine="560" w:firstLineChars="200"/>
        <w:rPr>
          <w:rFonts w:hint="default" w:ascii="Times New Roman" w:hAnsi="Times New Roman" w:cs="Times New Roman"/>
        </w:rPr>
      </w:pPr>
      <w:r>
        <w:rPr>
          <w:rFonts w:hint="default" w:ascii="Times New Roman" w:hAnsi="Times New Roman" w:cs="Times New Roman"/>
        </w:rPr>
        <w:t>安全部全面负责该公司的安全工作，有较为丰富的安全生产知识和很强的管理能力，车间、部门设置安全副职或专兼职安全管理人员，各车间、部门主要负责人为该车间（部门）第一安全责任人。</w:t>
      </w:r>
    </w:p>
    <w:p>
      <w:pPr>
        <w:ind w:firstLine="560" w:firstLineChars="200"/>
        <w:rPr>
          <w:rFonts w:hint="default" w:ascii="Times New Roman" w:hAnsi="Times New Roman" w:cs="Times New Roman"/>
        </w:rPr>
      </w:pPr>
      <w:r>
        <w:rPr>
          <w:rFonts w:hint="default" w:ascii="Times New Roman" w:hAnsi="Times New Roman" w:cs="Times New Roman"/>
        </w:rPr>
        <w:t>6、其他人员的培训及安全生产意识</w:t>
      </w:r>
    </w:p>
    <w:p>
      <w:pPr>
        <w:ind w:firstLine="560" w:firstLineChars="200"/>
        <w:rPr>
          <w:rFonts w:hint="default" w:ascii="Times New Roman" w:hAnsi="Times New Roman" w:cs="Times New Roman"/>
        </w:rPr>
      </w:pPr>
      <w:r>
        <w:rPr>
          <w:rFonts w:hint="default" w:ascii="Times New Roman" w:hAnsi="Times New Roman" w:cs="Times New Roman"/>
        </w:rPr>
        <w:t>该公司的从业人员均经过公司、车间、班组三级培训；职业、职能技术培训；职业卫生防护和应急救援知识教育，并考试合格后上岗。该公司的从业员工均为熟练操作工，上岗操作前按要求对上班记录进行查阅，对设备进行检查。</w:t>
      </w:r>
    </w:p>
    <w:p>
      <w:pPr>
        <w:ind w:firstLine="560" w:firstLineChars="200"/>
        <w:rPr>
          <w:rFonts w:hint="default" w:ascii="Times New Roman" w:hAnsi="Times New Roman" w:cs="Times New Roman"/>
        </w:rPr>
      </w:pPr>
      <w:r>
        <w:rPr>
          <w:rFonts w:hint="default" w:ascii="Times New Roman" w:hAnsi="Times New Roman" w:cs="Times New Roman"/>
        </w:rPr>
        <w:t>该公司成立了应急救援组织，配备了应急救援器材，定期对作业人员进行应急救援知识的培训。</w:t>
      </w:r>
    </w:p>
    <w:p>
      <w:pPr>
        <w:ind w:firstLine="560" w:firstLineChars="200"/>
        <w:rPr>
          <w:rFonts w:hint="default" w:ascii="Times New Roman" w:hAnsi="Times New Roman" w:cs="Times New Roman"/>
        </w:rPr>
      </w:pPr>
      <w:r>
        <w:rPr>
          <w:rFonts w:hint="default" w:ascii="Times New Roman" w:hAnsi="Times New Roman" w:cs="Times New Roman"/>
        </w:rPr>
        <w:t>该公司的从业人员均经过公司、车间、班组三级培训；职业、职能技术培训；职业卫生防护和应急救援知识教育，并考试合格。</w:t>
      </w:r>
    </w:p>
    <w:p>
      <w:pPr>
        <w:ind w:firstLine="560" w:firstLineChars="200"/>
        <w:rPr>
          <w:rFonts w:hint="default" w:ascii="Times New Roman" w:hAnsi="Times New Roman" w:cs="Times New Roman"/>
        </w:rPr>
      </w:pPr>
      <w:r>
        <w:rPr>
          <w:rFonts w:hint="default" w:ascii="Times New Roman" w:hAnsi="Times New Roman" w:cs="Times New Roman"/>
        </w:rPr>
        <w:t>该公司涉及涉及的特种作业种类为电工</w:t>
      </w:r>
      <w:r>
        <w:rPr>
          <w:rFonts w:hint="default" w:ascii="Times New Roman" w:hAnsi="Times New Roman" w:cs="Times New Roman"/>
          <w:lang w:eastAsia="zh-CN"/>
        </w:rPr>
        <w:t>、</w:t>
      </w:r>
      <w:r>
        <w:rPr>
          <w:rFonts w:hint="default" w:ascii="Times New Roman" w:hAnsi="Times New Roman" w:cs="Times New Roman"/>
          <w:lang w:val="en-US" w:eastAsia="zh-CN"/>
        </w:rPr>
        <w:t>焊工</w:t>
      </w:r>
      <w:r>
        <w:rPr>
          <w:rFonts w:hint="default" w:ascii="Times New Roman" w:hAnsi="Times New Roman" w:cs="Times New Roman"/>
        </w:rPr>
        <w:t>，操作人员和作业人员已取证，在有效期内。</w:t>
      </w:r>
    </w:p>
    <w:p>
      <w:pPr>
        <w:ind w:firstLine="560" w:firstLineChars="200"/>
        <w:rPr>
          <w:rFonts w:hint="default" w:ascii="Times New Roman" w:hAnsi="Times New Roman" w:cs="Times New Roman"/>
        </w:rPr>
      </w:pPr>
      <w:r>
        <w:rPr>
          <w:rFonts w:hint="default" w:ascii="Times New Roman" w:hAnsi="Times New Roman" w:cs="Times New Roman"/>
        </w:rPr>
        <w:t>7.安全生产费用提取及投入使用情况</w:t>
      </w:r>
    </w:p>
    <w:p>
      <w:pPr>
        <w:ind w:firstLine="560" w:firstLineChars="200"/>
        <w:rPr>
          <w:rFonts w:hint="default" w:ascii="Times New Roman" w:hAnsi="Times New Roman" w:cs="Times New Roman"/>
        </w:rPr>
      </w:pPr>
      <w:r>
        <w:rPr>
          <w:rFonts w:hint="default" w:ascii="Times New Roman" w:hAnsi="Times New Roman" w:cs="Times New Roman"/>
        </w:rPr>
        <w:t>企业每年根据有关规定提取相应的安全费用，安全投入主要为安全防护设施费用、安全设备设施费用、应急救援费用、安全教育培训费用、安全三同时等，占总营业收入比例</w:t>
      </w:r>
      <w:r>
        <w:rPr>
          <w:rFonts w:hint="default" w:ascii="Times New Roman" w:hAnsi="Times New Roman" w:cs="Times New Roman"/>
          <w:lang w:eastAsia="zh-CN"/>
        </w:rPr>
        <w:t>不小于</w:t>
      </w:r>
      <w:r>
        <w:rPr>
          <w:rFonts w:hint="default" w:ascii="Times New Roman" w:hAnsi="Times New Roman" w:cs="Times New Roman"/>
          <w:lang w:val="en-US" w:eastAsia="zh-CN"/>
        </w:rPr>
        <w:t>2</w:t>
      </w:r>
      <w:r>
        <w:rPr>
          <w:rFonts w:hint="default" w:ascii="Times New Roman" w:hAnsi="Times New Roman" w:cs="Times New Roman"/>
        </w:rPr>
        <w:t>%。综上所述，该公司安全生产费用的提取和使用符合相关规定，可满足安全生产需要。</w:t>
      </w:r>
    </w:p>
    <w:p>
      <w:pPr>
        <w:ind w:firstLine="560" w:firstLineChars="200"/>
        <w:rPr>
          <w:rFonts w:hint="default" w:ascii="Times New Roman" w:hAnsi="Times New Roman" w:cs="Times New Roman"/>
        </w:rPr>
      </w:pPr>
      <w:r>
        <w:rPr>
          <w:rFonts w:hint="default" w:ascii="Times New Roman" w:hAnsi="Times New Roman" w:cs="Times New Roman"/>
        </w:rPr>
        <w:t>8、安全生产的监督检查情况</w:t>
      </w:r>
    </w:p>
    <w:p>
      <w:pPr>
        <w:ind w:firstLine="560" w:firstLineChars="200"/>
        <w:rPr>
          <w:rFonts w:hint="default" w:ascii="Times New Roman" w:hAnsi="Times New Roman" w:cs="Times New Roman"/>
        </w:rPr>
      </w:pPr>
      <w:r>
        <w:rPr>
          <w:rFonts w:hint="default" w:ascii="Times New Roman" w:hAnsi="Times New Roman" w:cs="Times New Roman"/>
        </w:rPr>
        <w:t>该公司制订了《安全检查管理制度》，制度中规定了检查的范围、频次以及各部门的责任分工，在日常安全管理中严格执行。</w:t>
      </w:r>
    </w:p>
    <w:p>
      <w:pPr>
        <w:ind w:firstLine="560" w:firstLineChars="200"/>
        <w:rPr>
          <w:rFonts w:hint="default" w:ascii="Times New Roman" w:hAnsi="Times New Roman" w:cs="Times New Roman"/>
        </w:rPr>
      </w:pPr>
      <w:r>
        <w:rPr>
          <w:rFonts w:hint="default" w:ascii="Times New Roman" w:hAnsi="Times New Roman" w:cs="Times New Roman"/>
        </w:rPr>
        <w:t>各作业班组每天有生产作业人员定时进行巡检，对各自岗位范围内设备设施的工作情况进行检查、维护；各车间的兼职安全员每天对其分管的各个工段的工艺设备情况进行检查，并对各班组安全生产工作情况进行检查监督。</w:t>
      </w:r>
    </w:p>
    <w:p>
      <w:pPr>
        <w:ind w:firstLine="560" w:firstLineChars="200"/>
        <w:rPr>
          <w:rFonts w:hint="default" w:ascii="Times New Roman" w:hAnsi="Times New Roman" w:cs="Times New Roman"/>
        </w:rPr>
      </w:pPr>
      <w:r>
        <w:rPr>
          <w:rFonts w:hint="default" w:ascii="Times New Roman" w:hAnsi="Times New Roman" w:cs="Times New Roman"/>
        </w:rPr>
        <w:t>9、事故应急救援预案和调查处理情况</w:t>
      </w:r>
    </w:p>
    <w:p>
      <w:pPr>
        <w:ind w:firstLine="560" w:firstLineChars="200"/>
        <w:rPr>
          <w:rFonts w:hint="default" w:ascii="Times New Roman" w:hAnsi="Times New Roman" w:cs="Times New Roman"/>
        </w:rPr>
      </w:pPr>
      <w:r>
        <w:rPr>
          <w:rFonts w:hint="default" w:ascii="Times New Roman" w:hAnsi="Times New Roman" w:cs="Times New Roman"/>
          <w:lang w:val="zh-CN"/>
        </w:rPr>
        <w:t>公司建立了事故应急救援体系，成立了</w:t>
      </w:r>
      <w:r>
        <w:rPr>
          <w:rFonts w:hint="default" w:ascii="Times New Roman" w:hAnsi="Times New Roman" w:cs="Times New Roman"/>
        </w:rPr>
        <w:t>应急救援指挥中心，车间成立了应急小组，明确了相关机构及人员的应急管理职责，编制了事故应急救援预案，进行了相关培训及各种演练，并建立培训演练记录。</w:t>
      </w:r>
    </w:p>
    <w:p>
      <w:pPr>
        <w:spacing w:line="360" w:lineRule="auto"/>
        <w:ind w:firstLine="560" w:firstLineChars="200"/>
        <w:rPr>
          <w:rFonts w:hint="default" w:ascii="Times New Roman" w:hAnsi="Times New Roman" w:cs="Times New Roman"/>
          <w:kern w:val="0"/>
        </w:rPr>
      </w:pPr>
      <w:r>
        <w:rPr>
          <w:rFonts w:hint="eastAsia" w:cs="Times New Roman"/>
          <w:lang w:eastAsia="zh-CN"/>
        </w:rPr>
        <w:t>2023年7月19日</w:t>
      </w:r>
      <w:r>
        <w:rPr>
          <w:rFonts w:hint="default" w:ascii="Times New Roman" w:hAnsi="Times New Roman" w:cs="Times New Roman"/>
          <w:lang w:eastAsia="zh-CN"/>
        </w:rPr>
        <w:t>上饶市广氟医药化工有限公司</w:t>
      </w:r>
      <w:r>
        <w:rPr>
          <w:rFonts w:hint="default" w:ascii="Times New Roman" w:hAnsi="Times New Roman" w:cs="Times New Roman"/>
        </w:rPr>
        <w:t>生产安全事故应急预案于在</w:t>
      </w:r>
      <w:r>
        <w:rPr>
          <w:rFonts w:hint="default" w:ascii="Times New Roman" w:hAnsi="Times New Roman" w:cs="Times New Roman"/>
          <w:lang w:eastAsia="zh-CN"/>
        </w:rPr>
        <w:t>上饶市应急管理局</w:t>
      </w:r>
      <w:r>
        <w:rPr>
          <w:rFonts w:hint="default" w:ascii="Times New Roman" w:hAnsi="Times New Roman" w:cs="Times New Roman"/>
        </w:rPr>
        <w:t>备案，备案编号：</w:t>
      </w:r>
      <w:r>
        <w:rPr>
          <w:rFonts w:hint="eastAsia" w:cs="Times New Roman"/>
          <w:lang w:eastAsia="zh-CN"/>
        </w:rPr>
        <w:t>YJYA362325-2023-2080</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rPr>
        <w:t>为了落实生产安全事故责任追究制度，防止和减少生产安全事故，该公司编制有生产安全事故的报告和调查处理制度。</w:t>
      </w:r>
    </w:p>
    <w:p>
      <w:pPr>
        <w:pStyle w:val="5"/>
        <w:ind w:left="0" w:leftChars="0"/>
        <w:rPr>
          <w:rFonts w:hint="default" w:ascii="Times New Roman" w:hAnsi="Times New Roman" w:cs="Times New Roman"/>
        </w:rPr>
      </w:pPr>
      <w:bookmarkStart w:id="88" w:name="_Toc22340"/>
      <w:bookmarkStart w:id="89" w:name="_Toc19316"/>
      <w:r>
        <w:rPr>
          <w:rFonts w:hint="default" w:ascii="Times New Roman" w:hAnsi="Times New Roman" w:cs="Times New Roman"/>
        </w:rPr>
        <w:t>9.2.2生产层</w:t>
      </w:r>
    </w:p>
    <w:p>
      <w:pPr>
        <w:ind w:firstLine="560" w:firstLineChars="200"/>
        <w:rPr>
          <w:rFonts w:hint="default" w:ascii="Times New Roman" w:hAnsi="Times New Roman" w:cs="Times New Roman"/>
        </w:rPr>
      </w:pPr>
      <w:r>
        <w:rPr>
          <w:rFonts w:hint="default" w:ascii="Times New Roman" w:hAnsi="Times New Roman" w:cs="Times New Roman"/>
        </w:rPr>
        <w:t>1、外部条件</w:t>
      </w:r>
    </w:p>
    <w:p>
      <w:pPr>
        <w:ind w:firstLine="560" w:firstLineChars="200"/>
        <w:rPr>
          <w:rFonts w:hint="default" w:ascii="Times New Roman" w:hAnsi="Times New Roman" w:cs="Times New Roman"/>
        </w:rPr>
      </w:pPr>
      <w:r>
        <w:rPr>
          <w:rFonts w:hint="default" w:ascii="Times New Roman" w:hAnsi="Times New Roman" w:cs="Times New Roman"/>
        </w:rPr>
        <w:t>1）国家和省、自治区、直辖市的规划和布局符合性</w:t>
      </w:r>
    </w:p>
    <w:p>
      <w:pPr>
        <w:ind w:firstLine="560" w:firstLineChars="200"/>
        <w:rPr>
          <w:rFonts w:hint="default" w:ascii="Times New Roman" w:hAnsi="Times New Roman" w:cs="Times New Roman"/>
        </w:rPr>
      </w:pPr>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rPr>
        <w:t>建设时</w:t>
      </w:r>
      <w:r>
        <w:rPr>
          <w:rFonts w:hint="default" w:ascii="Times New Roman" w:hAnsi="Times New Roman" w:cs="Times New Roman"/>
          <w:lang w:val="en-US" w:eastAsia="zh-CN"/>
        </w:rPr>
        <w:t>位于</w:t>
      </w:r>
      <w:r>
        <w:rPr>
          <w:rFonts w:hint="default" w:ascii="Times New Roman" w:hAnsi="Times New Roman" w:cs="Times New Roman"/>
        </w:rPr>
        <w:t>上饶高新技术产业园区</w:t>
      </w:r>
      <w:r>
        <w:rPr>
          <w:rFonts w:hint="default" w:ascii="Times New Roman" w:hAnsi="Times New Roman" w:cs="Times New Roman"/>
          <w:lang w:val="en-US" w:eastAsia="zh-CN"/>
        </w:rPr>
        <w:t>的</w:t>
      </w:r>
      <w:r>
        <w:rPr>
          <w:rFonts w:hint="default" w:ascii="Times New Roman" w:hAnsi="Times New Roman" w:cs="Times New Roman"/>
        </w:rPr>
        <w:t>化工</w:t>
      </w:r>
      <w:r>
        <w:rPr>
          <w:rFonts w:hint="default" w:ascii="Times New Roman" w:hAnsi="Times New Roman" w:cs="Times New Roman"/>
          <w:lang w:val="en-US" w:eastAsia="zh-CN"/>
        </w:rPr>
        <w:t>集中区</w:t>
      </w:r>
      <w:r>
        <w:rPr>
          <w:rFonts w:hint="default" w:ascii="Times New Roman" w:hAnsi="Times New Roman" w:cs="Times New Roman"/>
        </w:rPr>
        <w:t>，但根据《关于公布全省化工园区名单（第一批）的通知》赣工信石化字〔2021〕92号，目前上饶高新技术产业园区不属于化工园区。该</w:t>
      </w:r>
      <w:r>
        <w:rPr>
          <w:rFonts w:hint="eastAsia" w:cs="Times New Roman"/>
          <w:lang w:val="en-US" w:eastAsia="zh-CN"/>
        </w:rPr>
        <w:t>企业</w:t>
      </w:r>
      <w:r>
        <w:rPr>
          <w:rFonts w:hint="default" w:ascii="Times New Roman" w:hAnsi="Times New Roman" w:cs="Times New Roman"/>
        </w:rPr>
        <w:t>的建设符合当时的政策规划。</w:t>
      </w:r>
    </w:p>
    <w:p>
      <w:pPr>
        <w:ind w:firstLine="560" w:firstLineChars="200"/>
        <w:rPr>
          <w:rFonts w:hint="default" w:ascii="Times New Roman" w:hAnsi="Times New Roman" w:cs="Times New Roman"/>
        </w:rPr>
      </w:pPr>
      <w:r>
        <w:rPr>
          <w:rFonts w:hint="default" w:ascii="Times New Roman" w:hAnsi="Times New Roman" w:cs="Times New Roman"/>
        </w:rPr>
        <w:t>该公司已取得了相关的土地证等；证书见附件。</w:t>
      </w:r>
    </w:p>
    <w:p>
      <w:pPr>
        <w:ind w:firstLine="560" w:firstLineChars="200"/>
        <w:rPr>
          <w:rFonts w:hint="default" w:ascii="Times New Roman" w:hAnsi="Times New Roman" w:cs="Times New Roman"/>
        </w:rPr>
      </w:pPr>
      <w:r>
        <w:rPr>
          <w:rFonts w:hint="default" w:ascii="Times New Roman" w:hAnsi="Times New Roman" w:cs="Times New Roman"/>
        </w:rPr>
        <w:t>2）生产装置与规定的场所和区域的距离</w:t>
      </w:r>
    </w:p>
    <w:p>
      <w:pPr>
        <w:jc w:val="center"/>
        <w:rPr>
          <w:rFonts w:hint="default" w:ascii="Times New Roman" w:hAnsi="Times New Roman" w:cs="Times New Roman"/>
        </w:rPr>
      </w:pPr>
      <w:r>
        <w:rPr>
          <w:rFonts w:hint="default" w:ascii="Times New Roman" w:hAnsi="Times New Roman" w:cs="Times New Roman"/>
        </w:rPr>
        <w:t>表9.2.2-1 生产装置与规定场所距离一览表</w:t>
      </w:r>
    </w:p>
    <w:tbl>
      <w:tblPr>
        <w:tblStyle w:val="25"/>
        <w:tblW w:w="9288"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426"/>
        <w:gridCol w:w="3039"/>
        <w:gridCol w:w="690"/>
        <w:gridCol w:w="1695"/>
        <w:gridCol w:w="1935"/>
        <w:gridCol w:w="150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426" w:type="dxa"/>
            <w:tcBorders>
              <w:top w:val="single" w:color="auto" w:sz="2" w:space="0"/>
            </w:tcBorders>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w:t>
            </w:r>
          </w:p>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号</w:t>
            </w:r>
          </w:p>
        </w:tc>
        <w:tc>
          <w:tcPr>
            <w:tcW w:w="3039" w:type="dxa"/>
            <w:tcBorders>
              <w:top w:val="single" w:color="auto" w:sz="2" w:space="0"/>
            </w:tcBorders>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检查项目</w:t>
            </w:r>
          </w:p>
        </w:tc>
        <w:tc>
          <w:tcPr>
            <w:tcW w:w="690" w:type="dxa"/>
            <w:tcBorders>
              <w:top w:val="single" w:color="auto" w:sz="2" w:space="0"/>
            </w:tcBorders>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检查结果</w:t>
            </w:r>
          </w:p>
        </w:tc>
        <w:tc>
          <w:tcPr>
            <w:tcW w:w="1695" w:type="dxa"/>
            <w:tcBorders>
              <w:top w:val="single" w:color="auto" w:sz="2" w:space="0"/>
            </w:tcBorders>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实际距离（m）</w:t>
            </w:r>
          </w:p>
        </w:tc>
        <w:tc>
          <w:tcPr>
            <w:tcW w:w="1935" w:type="dxa"/>
            <w:tcBorders>
              <w:top w:val="single" w:color="auto" w:sz="2" w:space="0"/>
            </w:tcBorders>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规范距离</w:t>
            </w:r>
          </w:p>
        </w:tc>
        <w:tc>
          <w:tcPr>
            <w:tcW w:w="1503" w:type="dxa"/>
            <w:tcBorders>
              <w:top w:val="single" w:color="auto" w:sz="2" w:space="0"/>
            </w:tcBorders>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284" w:hRule="atLeast"/>
          <w:tblHeader/>
          <w:jc w:val="center"/>
        </w:trPr>
        <w:tc>
          <w:tcPr>
            <w:tcW w:w="426"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3039"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居民区、</w:t>
            </w:r>
            <w:bookmarkStart w:id="90" w:name="_Hlt107980722"/>
            <w:bookmarkEnd w:id="90"/>
            <w:r>
              <w:rPr>
                <w:rFonts w:hint="default" w:ascii="Times New Roman" w:hAnsi="Times New Roman" w:cs="Times New Roman"/>
                <w:sz w:val="21"/>
                <w:szCs w:val="21"/>
              </w:rPr>
              <w:t>商业中心、公园等人口密集区域。</w:t>
            </w:r>
          </w:p>
        </w:tc>
        <w:tc>
          <w:tcPr>
            <w:tcW w:w="690"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695"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周边500m范围内无此项。</w:t>
            </w:r>
          </w:p>
        </w:tc>
        <w:tc>
          <w:tcPr>
            <w:tcW w:w="1935"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国务院令第591号第十九条</w:t>
            </w:r>
          </w:p>
        </w:tc>
        <w:tc>
          <w:tcPr>
            <w:tcW w:w="1503" w:type="dxa"/>
            <w:vAlign w:val="center"/>
          </w:tcPr>
          <w:p>
            <w:pPr>
              <w:widowControl/>
              <w:snapToGrid w:val="0"/>
              <w:spacing w:line="240" w:lineRule="auto"/>
              <w:jc w:val="center"/>
              <w:rPr>
                <w:rFonts w:hint="default" w:ascii="Times New Roman" w:hAnsi="Times New Roman" w:cs="Times New Roman"/>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426"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3039"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学校、医院、影剧院、体育场（馆）等公共设施。</w:t>
            </w:r>
          </w:p>
        </w:tc>
        <w:tc>
          <w:tcPr>
            <w:tcW w:w="690"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695"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周边500m范围内无此项。</w:t>
            </w:r>
          </w:p>
        </w:tc>
        <w:tc>
          <w:tcPr>
            <w:tcW w:w="1935"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国务院令第591号第十九条</w:t>
            </w:r>
          </w:p>
        </w:tc>
        <w:tc>
          <w:tcPr>
            <w:tcW w:w="1503" w:type="dxa"/>
            <w:vAlign w:val="center"/>
          </w:tcPr>
          <w:p>
            <w:pPr>
              <w:widowControl/>
              <w:snapToGrid w:val="0"/>
              <w:spacing w:line="240" w:lineRule="auto"/>
              <w:jc w:val="center"/>
              <w:rPr>
                <w:rFonts w:hint="default" w:ascii="Times New Roman" w:hAnsi="Times New Roman" w:cs="Times New Roman"/>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426"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3039"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供水水源、水厂及水源保护区。</w:t>
            </w:r>
          </w:p>
        </w:tc>
        <w:tc>
          <w:tcPr>
            <w:tcW w:w="690"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695"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与</w:t>
            </w:r>
            <w:r>
              <w:rPr>
                <w:rFonts w:hint="default" w:ascii="Times New Roman" w:hAnsi="Times New Roman" w:cs="Times New Roman"/>
                <w:sz w:val="21"/>
                <w:szCs w:val="21"/>
                <w:lang w:val="en-US" w:eastAsia="zh-CN"/>
              </w:rPr>
              <w:t>上述场所</w:t>
            </w:r>
            <w:r>
              <w:rPr>
                <w:rFonts w:hint="default" w:ascii="Times New Roman" w:hAnsi="Times New Roman" w:cs="Times New Roman"/>
                <w:sz w:val="21"/>
                <w:szCs w:val="21"/>
              </w:rPr>
              <w:t>距离大于1000m。</w:t>
            </w:r>
          </w:p>
        </w:tc>
        <w:tc>
          <w:tcPr>
            <w:tcW w:w="1935"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国务院令第591号第十九条</w:t>
            </w:r>
          </w:p>
        </w:tc>
        <w:tc>
          <w:tcPr>
            <w:tcW w:w="1503" w:type="dxa"/>
            <w:vAlign w:val="center"/>
          </w:tcPr>
          <w:p>
            <w:pPr>
              <w:widowControl/>
              <w:snapToGrid w:val="0"/>
              <w:spacing w:line="240" w:lineRule="auto"/>
              <w:jc w:val="center"/>
              <w:rPr>
                <w:rFonts w:hint="default" w:ascii="Times New Roman" w:hAnsi="Times New Roman" w:cs="Times New Roman"/>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426"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3039"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车站、码头（按照国家规定，经批准专门从事危险化学品装卸作业的除外）、机场以及公路、铁路、水路交通干线、地铁风亭及出入口。</w:t>
            </w:r>
          </w:p>
        </w:tc>
        <w:tc>
          <w:tcPr>
            <w:tcW w:w="690"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695"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距离国道大于100m。</w:t>
            </w:r>
          </w:p>
        </w:tc>
        <w:tc>
          <w:tcPr>
            <w:tcW w:w="1935"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《公路安全保护条例》第十八条，大于100m</w:t>
            </w:r>
          </w:p>
        </w:tc>
        <w:tc>
          <w:tcPr>
            <w:tcW w:w="1503" w:type="dxa"/>
            <w:vAlign w:val="center"/>
          </w:tcPr>
          <w:p>
            <w:pPr>
              <w:widowControl/>
              <w:snapToGrid w:val="0"/>
              <w:spacing w:line="240" w:lineRule="auto"/>
              <w:rPr>
                <w:rFonts w:hint="default" w:ascii="Times New Roman" w:hAnsi="Times New Roman" w:cs="Times New Roman"/>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1037" w:hRule="atLeast"/>
          <w:tblHeader/>
          <w:jc w:val="center"/>
        </w:trPr>
        <w:tc>
          <w:tcPr>
            <w:tcW w:w="426"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3039"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基本农田保护区、畜牧区、渔业水域和种子、种畜、水产苗种生产基地。</w:t>
            </w:r>
          </w:p>
        </w:tc>
        <w:tc>
          <w:tcPr>
            <w:tcW w:w="690"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695"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周边500m范围内无此项。</w:t>
            </w:r>
          </w:p>
        </w:tc>
        <w:tc>
          <w:tcPr>
            <w:tcW w:w="1935"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国务院令第591号第十九条</w:t>
            </w:r>
          </w:p>
        </w:tc>
        <w:tc>
          <w:tcPr>
            <w:tcW w:w="1503" w:type="dxa"/>
            <w:vAlign w:val="center"/>
          </w:tcPr>
          <w:p>
            <w:pPr>
              <w:widowControl/>
              <w:snapToGrid w:val="0"/>
              <w:spacing w:line="240" w:lineRule="auto"/>
              <w:jc w:val="center"/>
              <w:rPr>
                <w:rFonts w:hint="default" w:ascii="Times New Roman" w:hAnsi="Times New Roman" w:cs="Times New Roman"/>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426"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3039"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河流、湖泊、风景名胜区和自然保护区。</w:t>
            </w:r>
          </w:p>
        </w:tc>
        <w:tc>
          <w:tcPr>
            <w:tcW w:w="690"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695"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与</w:t>
            </w:r>
            <w:r>
              <w:rPr>
                <w:rFonts w:hint="eastAsia" w:cs="Times New Roman"/>
                <w:sz w:val="21"/>
                <w:szCs w:val="21"/>
                <w:lang w:val="en-US" w:eastAsia="zh-CN"/>
              </w:rPr>
              <w:t>上述场所</w:t>
            </w:r>
            <w:r>
              <w:rPr>
                <w:rFonts w:hint="default" w:ascii="Times New Roman" w:hAnsi="Times New Roman" w:cs="Times New Roman"/>
                <w:sz w:val="21"/>
                <w:szCs w:val="21"/>
              </w:rPr>
              <w:t>距离大于1000m。</w:t>
            </w:r>
          </w:p>
        </w:tc>
        <w:tc>
          <w:tcPr>
            <w:tcW w:w="1935"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kern w:val="0"/>
                <w:sz w:val="21"/>
                <w:szCs w:val="21"/>
              </w:rPr>
              <w:t>《江西省人民政府办公厅关于印发鄱阳湖生态环境综合整治三年行动计划（2018-2020年）的通知》</w:t>
            </w:r>
          </w:p>
        </w:tc>
        <w:tc>
          <w:tcPr>
            <w:tcW w:w="1503" w:type="dxa"/>
            <w:vAlign w:val="center"/>
          </w:tcPr>
          <w:p>
            <w:pPr>
              <w:widowControl/>
              <w:snapToGrid w:val="0"/>
              <w:spacing w:line="240" w:lineRule="auto"/>
              <w:jc w:val="center"/>
              <w:rPr>
                <w:rFonts w:hint="default" w:ascii="Times New Roman" w:hAnsi="Times New Roman" w:cs="Times New Roman"/>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426"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3039"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军事禁区、军事管理区。</w:t>
            </w:r>
          </w:p>
        </w:tc>
        <w:tc>
          <w:tcPr>
            <w:tcW w:w="690"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695"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该公司周边2km内无军事禁区、军事管理区</w:t>
            </w:r>
          </w:p>
        </w:tc>
        <w:tc>
          <w:tcPr>
            <w:tcW w:w="1935"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《中华人民共和国军事设施保护法》</w:t>
            </w:r>
          </w:p>
        </w:tc>
        <w:tc>
          <w:tcPr>
            <w:tcW w:w="1503" w:type="dxa"/>
            <w:vAlign w:val="center"/>
          </w:tcPr>
          <w:p>
            <w:pPr>
              <w:widowControl/>
              <w:snapToGrid w:val="0"/>
              <w:spacing w:line="240" w:lineRule="auto"/>
              <w:jc w:val="center"/>
              <w:rPr>
                <w:rFonts w:hint="default" w:ascii="Times New Roman" w:hAnsi="Times New Roman" w:cs="Times New Roman"/>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426"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3039"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法律、行政法规规定予以保护的其他区域。</w:t>
            </w:r>
          </w:p>
        </w:tc>
        <w:tc>
          <w:tcPr>
            <w:tcW w:w="690"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695"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该公司周边1km内无法律、行政法规规定予以保护的其他区域</w:t>
            </w:r>
          </w:p>
        </w:tc>
        <w:tc>
          <w:tcPr>
            <w:tcW w:w="1935" w:type="dxa"/>
            <w:vAlign w:val="center"/>
          </w:tcPr>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《危险化学品生产装置和储存设施外部安全防护距离确定方法》</w:t>
            </w:r>
          </w:p>
          <w:p>
            <w:pPr>
              <w:widowControl/>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GB/T37243-2019</w:t>
            </w:r>
          </w:p>
        </w:tc>
        <w:tc>
          <w:tcPr>
            <w:tcW w:w="1503" w:type="dxa"/>
            <w:vAlign w:val="center"/>
          </w:tcPr>
          <w:p>
            <w:pPr>
              <w:widowControl/>
              <w:snapToGrid w:val="0"/>
              <w:spacing w:line="240" w:lineRule="auto"/>
              <w:rPr>
                <w:rFonts w:hint="default" w:ascii="Times New Roman" w:hAnsi="Times New Roman" w:cs="Times New Roman"/>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52" w:hRule="atLeast"/>
          <w:tblHeader/>
          <w:jc w:val="center"/>
        </w:trPr>
        <w:tc>
          <w:tcPr>
            <w:tcW w:w="9288" w:type="dxa"/>
            <w:gridSpan w:val="6"/>
            <w:tcBorders>
              <w:bottom w:val="single" w:color="auto" w:sz="2" w:space="0"/>
            </w:tcBorders>
            <w:vAlign w:val="center"/>
          </w:tcPr>
          <w:p>
            <w:pPr>
              <w:widowControl/>
              <w:snapToGri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注：1.上述距离为生产装置和储存区边界与周边主要场所、区域的距离。</w:t>
            </w:r>
          </w:p>
          <w:p>
            <w:pPr>
              <w:widowControl/>
              <w:snapToGrid w:val="0"/>
              <w:spacing w:line="24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2.该公司外部安全防护距离见B.6节。</w:t>
            </w:r>
          </w:p>
        </w:tc>
      </w:tr>
    </w:tbl>
    <w:p>
      <w:pPr>
        <w:ind w:firstLine="560" w:firstLineChars="200"/>
        <w:rPr>
          <w:rFonts w:hint="default" w:ascii="Times New Roman" w:hAnsi="Times New Roman" w:cs="Times New Roman"/>
        </w:rPr>
      </w:pPr>
      <w:r>
        <w:rPr>
          <w:rFonts w:hint="default" w:ascii="Times New Roman" w:hAnsi="Times New Roman" w:cs="Times New Roman"/>
        </w:rPr>
        <w:t>2.内部安全生产条件</w:t>
      </w:r>
    </w:p>
    <w:p>
      <w:pPr>
        <w:ind w:firstLine="560" w:firstLineChars="200"/>
        <w:rPr>
          <w:rFonts w:hint="default" w:ascii="Times New Roman" w:hAnsi="Times New Roman" w:cs="Times New Roman"/>
        </w:rPr>
      </w:pPr>
      <w:r>
        <w:rPr>
          <w:rFonts w:hint="default" w:ascii="Times New Roman" w:hAnsi="Times New Roman" w:cs="Times New Roman"/>
        </w:rPr>
        <w:t>1）安全生产责任制的落实情况；</w:t>
      </w:r>
    </w:p>
    <w:p>
      <w:pPr>
        <w:ind w:firstLine="560" w:firstLineChars="200"/>
        <w:rPr>
          <w:rFonts w:hint="default" w:ascii="Times New Roman" w:hAnsi="Times New Roman" w:cs="Times New Roman"/>
        </w:rPr>
      </w:pPr>
      <w:r>
        <w:rPr>
          <w:rFonts w:hint="default" w:ascii="Times New Roman" w:hAnsi="Times New Roman" w:cs="Times New Roman"/>
        </w:rPr>
        <w:t>该公司制定的各项安全生产责任制能够落实到人，各级、各类人员对自身范围内的安全职责比较了解，能够按照其责任制进行工作，使各项安全工作能够得到实施。</w:t>
      </w:r>
    </w:p>
    <w:p>
      <w:pPr>
        <w:ind w:firstLine="560" w:firstLineChars="200"/>
        <w:rPr>
          <w:rFonts w:hint="default" w:ascii="Times New Roman" w:hAnsi="Times New Roman" w:cs="Times New Roman"/>
        </w:rPr>
      </w:pPr>
      <w:r>
        <w:rPr>
          <w:rFonts w:hint="default" w:ascii="Times New Roman" w:hAnsi="Times New Roman" w:cs="Times New Roman"/>
        </w:rPr>
        <w:t>2）安全生产管理制度的执行情况；</w:t>
      </w:r>
    </w:p>
    <w:p>
      <w:pPr>
        <w:ind w:firstLine="560" w:firstLineChars="200"/>
        <w:rPr>
          <w:rFonts w:hint="default" w:ascii="Times New Roman" w:hAnsi="Times New Roman" w:cs="Times New Roman"/>
        </w:rPr>
      </w:pPr>
      <w:r>
        <w:rPr>
          <w:rFonts w:hint="default" w:ascii="Times New Roman" w:hAnsi="Times New Roman" w:cs="Times New Roman"/>
        </w:rPr>
        <w:t>该公司定期对各级人员进行培训，对公司制度能够按照相关制度进行工作。</w:t>
      </w:r>
    </w:p>
    <w:p>
      <w:pPr>
        <w:ind w:firstLine="560" w:firstLineChars="200"/>
        <w:rPr>
          <w:rFonts w:hint="default" w:ascii="Times New Roman" w:hAnsi="Times New Roman" w:cs="Times New Roman"/>
        </w:rPr>
      </w:pPr>
      <w:r>
        <w:rPr>
          <w:rFonts w:hint="default" w:ascii="Times New Roman" w:hAnsi="Times New Roman" w:cs="Times New Roman"/>
        </w:rPr>
        <w:t>3）岗位操作安全规程的执行情况；</w:t>
      </w:r>
    </w:p>
    <w:p>
      <w:pPr>
        <w:ind w:firstLine="560" w:firstLineChars="200"/>
        <w:rPr>
          <w:rFonts w:hint="default" w:ascii="Times New Roman" w:hAnsi="Times New Roman" w:cs="Times New Roman"/>
        </w:rPr>
      </w:pPr>
      <w:r>
        <w:rPr>
          <w:rFonts w:hint="default" w:ascii="Times New Roman" w:hAnsi="Times New Roman" w:cs="Times New Roman"/>
        </w:rPr>
        <w:t>该公司操作工能够按照相关规程进行操作，特种作业人员经培训合格后持证上岗。</w:t>
      </w:r>
    </w:p>
    <w:p>
      <w:pPr>
        <w:ind w:firstLine="560" w:firstLineChars="200"/>
        <w:rPr>
          <w:rFonts w:hint="default" w:ascii="Times New Roman" w:hAnsi="Times New Roman" w:cs="Times New Roman"/>
        </w:rPr>
      </w:pPr>
      <w:r>
        <w:rPr>
          <w:rFonts w:hint="default" w:ascii="Times New Roman" w:hAnsi="Times New Roman" w:cs="Times New Roman"/>
        </w:rPr>
        <w:t>4）从业人员安全生产培训、继续培训和考核情况以及安全操作能力、水平；</w:t>
      </w:r>
    </w:p>
    <w:p>
      <w:pPr>
        <w:ind w:firstLine="560" w:firstLineChars="200"/>
        <w:rPr>
          <w:rFonts w:hint="default" w:ascii="Times New Roman" w:hAnsi="Times New Roman" w:cs="Times New Roman"/>
        </w:rPr>
      </w:pPr>
      <w:r>
        <w:rPr>
          <w:rFonts w:hint="default" w:ascii="Times New Roman" w:hAnsi="Times New Roman" w:cs="Times New Roman"/>
        </w:rPr>
        <w:t>该公司制定有安全生产培训和考核制度，定期开展学习培训工作。</w:t>
      </w:r>
    </w:p>
    <w:p>
      <w:pPr>
        <w:ind w:firstLine="560" w:firstLineChars="200"/>
        <w:rPr>
          <w:rFonts w:hint="default" w:ascii="Times New Roman" w:hAnsi="Times New Roman" w:cs="Times New Roman"/>
        </w:rPr>
      </w:pPr>
      <w:r>
        <w:rPr>
          <w:rFonts w:hint="default" w:ascii="Times New Roman" w:hAnsi="Times New Roman" w:cs="Times New Roman"/>
        </w:rPr>
        <w:t>5）装置、设备和设施的检修、维护和法定检测、检验情况</w:t>
      </w:r>
    </w:p>
    <w:p>
      <w:pPr>
        <w:ind w:firstLine="560" w:firstLineChars="200"/>
        <w:rPr>
          <w:rFonts w:hint="default" w:ascii="Times New Roman" w:hAnsi="Times New Roman" w:cs="Times New Roman"/>
        </w:rPr>
      </w:pPr>
      <w:r>
        <w:rPr>
          <w:rFonts w:hint="default" w:ascii="Times New Roman" w:hAnsi="Times New Roman" w:cs="Times New Roman"/>
        </w:rPr>
        <w:t>该公司设备、复杂电气、仪表等检修、维护充分依托外单位。日常检维修过程中严格执行公司级制度。</w:t>
      </w:r>
    </w:p>
    <w:p>
      <w:pPr>
        <w:ind w:firstLine="560" w:firstLineChars="200"/>
        <w:rPr>
          <w:rFonts w:hint="default" w:ascii="Times New Roman" w:hAnsi="Times New Roman" w:cs="Times New Roman"/>
        </w:rPr>
      </w:pPr>
      <w:r>
        <w:rPr>
          <w:rFonts w:hint="default" w:ascii="Times New Roman" w:hAnsi="Times New Roman" w:cs="Times New Roman"/>
        </w:rPr>
        <w:t>该公司建构筑物经</w:t>
      </w:r>
      <w:r>
        <w:rPr>
          <w:rFonts w:hint="default" w:ascii="Times New Roman" w:hAnsi="Times New Roman" w:cs="Times New Roman"/>
          <w:lang w:eastAsia="zh-CN"/>
        </w:rPr>
        <w:t>吉林华云气象科技有限公司</w:t>
      </w:r>
      <w:r>
        <w:rPr>
          <w:rFonts w:hint="default" w:ascii="Times New Roman" w:hAnsi="Times New Roman" w:cs="Times New Roman"/>
        </w:rPr>
        <w:t>检测，符合国家防雷接地规范要求，并出具了相应检测报告。</w:t>
      </w:r>
    </w:p>
    <w:p>
      <w:pPr>
        <w:ind w:firstLine="560" w:firstLineChars="200"/>
        <w:rPr>
          <w:rFonts w:hint="default" w:ascii="Times New Roman" w:hAnsi="Times New Roman" w:cs="Times New Roman"/>
        </w:rPr>
      </w:pPr>
      <w:r>
        <w:rPr>
          <w:rFonts w:hint="default" w:ascii="Times New Roman" w:hAnsi="Times New Roman" w:cs="Times New Roman"/>
        </w:rPr>
        <w:t>该公司制定有安全设施检查制度及相关台账，每年安排专人定期对消防设施、设备进行定期检查并将检查结果进行校验或更换，通过现场检查该公司消防设施标识清晰，消防灭火器均在有效期内，消火栓能够启动，正常有效，年度检维修计划详见附件。</w:t>
      </w:r>
    </w:p>
    <w:p>
      <w:pPr>
        <w:ind w:firstLine="560" w:firstLineChars="200"/>
        <w:rPr>
          <w:rFonts w:hint="default" w:ascii="Times New Roman" w:hAnsi="Times New Roman" w:cs="Times New Roman"/>
        </w:rPr>
      </w:pPr>
      <w:r>
        <w:rPr>
          <w:rFonts w:hint="default" w:ascii="Times New Roman" w:hAnsi="Times New Roman" w:cs="Times New Roman"/>
        </w:rPr>
        <w:t>6）生产工艺及原辅材料变更情况；</w:t>
      </w:r>
    </w:p>
    <w:p>
      <w:pPr>
        <w:ind w:firstLine="560" w:firstLineChars="200"/>
        <w:rPr>
          <w:rFonts w:hint="default" w:ascii="Times New Roman" w:hAnsi="Times New Roman" w:cs="Times New Roman"/>
          <w:lang w:val="en-US" w:eastAsia="zh-CN"/>
        </w:rPr>
      </w:pPr>
      <w:r>
        <w:rPr>
          <w:rFonts w:hint="eastAsia" w:cs="Times New Roman"/>
          <w:lang w:val="en-US" w:eastAsia="zh-CN"/>
        </w:rPr>
        <w:t>该公司于2021年新增有水氟硅酸（50t/a）、有水氢氟酸（500t/a）、有水氟硼酸（100t/a）、氟硅酸钠（500t/a）、氟铝酸钾（10t/a）、氟铝酸钠（5t/a）、氟化钡（500t/a）、氟化钠（50t/a）、氟化氢钠（500t/a）、氟化锌（5t/a）、氟化锶（20t/a）、氟化锂（5t/a）等12种产品的配套的生产装置未新增，均套用原有设备生产。</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该公司</w:t>
      </w:r>
      <w:r>
        <w:rPr>
          <w:rFonts w:hint="eastAsia" w:cs="Times New Roman"/>
          <w:lang w:val="en-US" w:eastAsia="zh-CN"/>
        </w:rPr>
        <w:t>于2023年将201原料罐区的11个储罐在原位置更换成新的同型号储罐</w:t>
      </w:r>
      <w:r>
        <w:rPr>
          <w:rFonts w:hint="default" w:ascii="Times New Roman" w:hAnsi="Times New Roman" w:cs="Times New Roman"/>
          <w:lang w:val="en-US" w:eastAsia="zh-CN"/>
        </w:rPr>
        <w:t>。</w:t>
      </w:r>
      <w:r>
        <w:rPr>
          <w:rFonts w:hint="eastAsia" w:cs="Times New Roman"/>
          <w:lang w:val="en-US" w:eastAsia="zh-CN"/>
        </w:rPr>
        <w:t>其他生产装置未发生变更。</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该公司原辅材料于2021年新增有水氟硅酸（50t/a）、有水氢氟酸（500t/a）、有水氟硼酸（100t/a）、氟硅酸钠（500t/a）、氟铝酸钾（10t/a）、氟铝酸钠（5t/a）、氟化钡（500t/a）、氟化钠（50t/a）、氟化氢钠（500t/a）、氟化锌（5t/a）、氟化锶（20t/a）、氟化锂（5t/a）等12种产品的</w:t>
      </w:r>
      <w:r>
        <w:rPr>
          <w:rFonts w:hint="eastAsia" w:cs="Times New Roman"/>
          <w:lang w:val="en-US" w:eastAsia="zh-CN"/>
        </w:rPr>
        <w:t>配套原辅料</w:t>
      </w:r>
      <w:r>
        <w:rPr>
          <w:rFonts w:hint="default" w:ascii="Times New Roman" w:hAnsi="Times New Roman" w:cs="Times New Roman"/>
          <w:lang w:val="en-US" w:eastAsia="zh-CN"/>
        </w:rPr>
        <w:t>。</w:t>
      </w:r>
      <w:r>
        <w:rPr>
          <w:rFonts w:hint="eastAsia" w:cs="Times New Roman"/>
          <w:lang w:val="en-US" w:eastAsia="zh-CN"/>
        </w:rPr>
        <w:t>主要新增碳酸钠、氢氧化铝、碳酸钾、碳酸钡、碳酸锶、碳酸锂、氟硅酸钠、氟硼酸、氟铝酸钾、氟铝酸钠、氟化钡、氟化钠、氟化氢钠、氟化锶、氟化锌、氟化锂、硼酸、碳酸锌等，</w:t>
      </w:r>
      <w:r>
        <w:rPr>
          <w:rFonts w:hint="default" w:ascii="Times New Roman" w:hAnsi="Times New Roman" w:cs="Times New Roman"/>
          <w:lang w:val="en-US" w:eastAsia="zh-CN"/>
        </w:rPr>
        <w:t>上述改造内容在《上饶市广氟医药化工有限公司5000吨无机氟盐技术改造项目安全验收评价报告》于</w:t>
      </w:r>
      <w:r>
        <w:rPr>
          <w:rFonts w:hint="eastAsia" w:cs="Times New Roman"/>
          <w:lang w:val="en-US" w:eastAsia="zh-CN"/>
        </w:rPr>
        <w:t>2020年12月24日</w:t>
      </w:r>
      <w:r>
        <w:rPr>
          <w:rFonts w:hint="default" w:ascii="Times New Roman" w:hAnsi="Times New Roman" w:cs="Times New Roman"/>
          <w:lang w:val="en-US" w:eastAsia="zh-CN"/>
        </w:rPr>
        <w:t>通过验收。</w:t>
      </w:r>
    </w:p>
    <w:p>
      <w:pPr>
        <w:ind w:firstLine="560" w:firstLineChars="200"/>
        <w:rPr>
          <w:rFonts w:hint="default" w:ascii="Times New Roman" w:hAnsi="Times New Roman" w:cs="Times New Roman"/>
        </w:rPr>
      </w:pPr>
      <w:r>
        <w:rPr>
          <w:rFonts w:hint="default" w:ascii="Times New Roman" w:hAnsi="Times New Roman" w:cs="Times New Roman"/>
        </w:rPr>
        <w:t>7）作业场所及其变更情况和法定监测、监控情况；</w:t>
      </w:r>
    </w:p>
    <w:p>
      <w:pPr>
        <w:ind w:firstLine="560" w:firstLineChars="200"/>
        <w:rPr>
          <w:rFonts w:hint="default" w:ascii="Times New Roman" w:hAnsi="Times New Roman" w:cs="Times New Roman"/>
        </w:rPr>
      </w:pPr>
      <w:r>
        <w:rPr>
          <w:rFonts w:hint="default" w:ascii="Times New Roman" w:hAnsi="Times New Roman" w:cs="Times New Roman"/>
        </w:rPr>
        <w:t>该公司作业场所与生活场所分开，有害作业与无害作业分开，该公司每年对作业场所的职工，进行了上岗前、岗中职业健康检查。</w:t>
      </w:r>
    </w:p>
    <w:p>
      <w:pPr>
        <w:ind w:firstLine="560" w:firstLineChars="200"/>
        <w:rPr>
          <w:rFonts w:hint="default" w:ascii="Times New Roman" w:hAnsi="Times New Roman" w:cs="Times New Roman"/>
        </w:rPr>
      </w:pPr>
      <w:r>
        <w:rPr>
          <w:rFonts w:hint="default" w:ascii="Times New Roman" w:hAnsi="Times New Roman" w:cs="Times New Roman"/>
        </w:rPr>
        <w:t>8）职业危害防护设施的设置及其变更设施的检修、维护和法定检验、检测情况；</w:t>
      </w:r>
    </w:p>
    <w:p>
      <w:pPr>
        <w:ind w:firstLine="560" w:firstLineChars="200"/>
        <w:rPr>
          <w:rFonts w:hint="default" w:ascii="Times New Roman" w:hAnsi="Times New Roman" w:cs="Times New Roman"/>
        </w:rPr>
      </w:pPr>
      <w:r>
        <w:rPr>
          <w:rFonts w:hint="default" w:ascii="Times New Roman" w:hAnsi="Times New Roman" w:cs="Times New Roman"/>
        </w:rPr>
        <w:t>该公司作业场所与生活场所分开；自然通风良好。对产生危险有害因素的作业场所减少员工的停留时间及严格要求佩戴个人防护用品。岗位配置包括工作服、工作鞋、口罩、防毒面罩、手套等防护设施，装置的职业防护设施的维护由安全工作领导小组主要负责，不定期进行检查。</w:t>
      </w:r>
    </w:p>
    <w:p>
      <w:pPr>
        <w:ind w:firstLine="560" w:firstLineChars="200"/>
        <w:rPr>
          <w:rFonts w:hint="default" w:ascii="Times New Roman" w:hAnsi="Times New Roman" w:cs="Times New Roman"/>
        </w:rPr>
      </w:pPr>
      <w:r>
        <w:rPr>
          <w:rFonts w:hint="default" w:ascii="Times New Roman" w:hAnsi="Times New Roman" w:cs="Times New Roman"/>
        </w:rPr>
        <w:t>9）从业人员劳动防护用品的配备及其检修、维护和法定检验、检测情况；</w:t>
      </w:r>
    </w:p>
    <w:p>
      <w:pPr>
        <w:ind w:firstLine="560" w:firstLineChars="200"/>
        <w:rPr>
          <w:rFonts w:hint="default" w:ascii="Times New Roman" w:hAnsi="Times New Roman" w:cs="Times New Roman"/>
        </w:rPr>
      </w:pPr>
      <w:r>
        <w:rPr>
          <w:rFonts w:hint="default" w:ascii="Times New Roman" w:hAnsi="Times New Roman" w:cs="Times New Roman"/>
        </w:rPr>
        <w:t>该公司按规定建立了职业危害防治制度和操作规程，为从业人员提供符合国家标准、行业标准的职业危害防护用品，并督促、教育、指导从业人员按照使用规则正确佩戴、使用，对职业危害防护用品、设施进行经常性的维护、检修和保养，定期检测其性能和效果，确保其处于正常状态。该公司根据工作场所、物料特性、接触程度、危险情况等，在设计和管理中，在工作地点配备相应的安全设施，为操作人员配备相应的个人防护用品，包括眼镜及耳塞、防静电服、防护鞋、防护手套等个人防护用品，劳动防护用品防护用品按工种分月、季、年足额发放。</w:t>
      </w:r>
    </w:p>
    <w:p>
      <w:pPr>
        <w:ind w:firstLine="560" w:firstLineChars="200"/>
        <w:rPr>
          <w:rFonts w:hint="default" w:ascii="Times New Roman" w:hAnsi="Times New Roman" w:cs="Times New Roman"/>
        </w:rPr>
      </w:pPr>
      <w:r>
        <w:rPr>
          <w:rFonts w:hint="default" w:ascii="Times New Roman" w:hAnsi="Times New Roman" w:cs="Times New Roman"/>
        </w:rPr>
        <w:t>11）事故应急救援情况</w:t>
      </w:r>
    </w:p>
    <w:p>
      <w:pPr>
        <w:ind w:firstLine="560" w:firstLineChars="200"/>
        <w:rPr>
          <w:rFonts w:hint="default" w:ascii="Times New Roman" w:hAnsi="Times New Roman" w:cs="Times New Roman"/>
        </w:rPr>
      </w:pPr>
      <w:r>
        <w:rPr>
          <w:rFonts w:hint="default" w:ascii="Times New Roman" w:hAnsi="Times New Roman" w:cs="Times New Roman"/>
          <w:lang w:val="zh-CN"/>
        </w:rPr>
        <w:t>公司建立了较为完善的事故应急救援体系，成立了</w:t>
      </w:r>
      <w:r>
        <w:rPr>
          <w:rFonts w:hint="default" w:ascii="Times New Roman" w:hAnsi="Times New Roman" w:cs="Times New Roman"/>
        </w:rPr>
        <w:t>应急救援指挥中心，车间成立了应急小组，明确了相关机构及人员的应急管理职责。</w:t>
      </w:r>
    </w:p>
    <w:p>
      <w:pPr>
        <w:spacing w:line="360" w:lineRule="auto"/>
        <w:ind w:firstLine="560" w:firstLineChars="200"/>
        <w:rPr>
          <w:rFonts w:hint="default" w:ascii="Times New Roman" w:hAnsi="Times New Roman" w:cs="Times New Roman"/>
        </w:rPr>
      </w:pPr>
      <w:r>
        <w:rPr>
          <w:rFonts w:hint="default" w:ascii="Times New Roman" w:hAnsi="Times New Roman" w:cs="Times New Roman"/>
        </w:rPr>
        <w:t>该公司进行了相关的应急演练，演练记录详见附件。</w:t>
      </w:r>
    </w:p>
    <w:p>
      <w:pPr>
        <w:spacing w:line="360" w:lineRule="auto"/>
        <w:ind w:firstLine="560" w:firstLineChars="200"/>
        <w:rPr>
          <w:rFonts w:hint="default" w:ascii="Times New Roman" w:hAnsi="Times New Roman" w:cs="Times New Roman"/>
        </w:rPr>
      </w:pPr>
      <w:r>
        <w:rPr>
          <w:rFonts w:hint="eastAsia" w:cs="Times New Roman"/>
          <w:lang w:eastAsia="zh-CN"/>
        </w:rPr>
        <w:t>2023年7月19日</w:t>
      </w:r>
      <w:r>
        <w:rPr>
          <w:rFonts w:hint="default" w:ascii="Times New Roman" w:hAnsi="Times New Roman" w:cs="Times New Roman"/>
          <w:lang w:eastAsia="zh-CN"/>
        </w:rPr>
        <w:t>上饶市广氟医药化工有限公司</w:t>
      </w:r>
      <w:r>
        <w:rPr>
          <w:rFonts w:hint="default" w:ascii="Times New Roman" w:hAnsi="Times New Roman" w:cs="Times New Roman"/>
        </w:rPr>
        <w:t>生产安全事故应急预案于在</w:t>
      </w:r>
      <w:r>
        <w:rPr>
          <w:rFonts w:hint="default" w:ascii="Times New Roman" w:hAnsi="Times New Roman" w:cs="Times New Roman"/>
          <w:lang w:eastAsia="zh-CN"/>
        </w:rPr>
        <w:t>上饶市应急管理局</w:t>
      </w:r>
      <w:r>
        <w:rPr>
          <w:rFonts w:hint="default" w:ascii="Times New Roman" w:hAnsi="Times New Roman" w:cs="Times New Roman"/>
        </w:rPr>
        <w:t>备案，备案编号：</w:t>
      </w:r>
      <w:r>
        <w:rPr>
          <w:rFonts w:hint="eastAsia" w:cs="Times New Roman"/>
          <w:lang w:eastAsia="zh-CN"/>
        </w:rPr>
        <w:t>YJYA362325-2023-2080</w:t>
      </w:r>
      <w:r>
        <w:rPr>
          <w:rFonts w:hint="default" w:ascii="Times New Roman" w:hAnsi="Times New Roman" w:cs="Times New Roman"/>
        </w:rPr>
        <w:t>。</w:t>
      </w:r>
    </w:p>
    <w:p>
      <w:pPr>
        <w:pStyle w:val="4"/>
        <w:rPr>
          <w:rFonts w:hint="default" w:ascii="Times New Roman" w:hAnsi="Times New Roman" w:cs="Times New Roman"/>
        </w:rPr>
      </w:pPr>
      <w:bookmarkStart w:id="91" w:name="_Toc11776"/>
      <w:r>
        <w:rPr>
          <w:rFonts w:hint="default" w:ascii="Times New Roman" w:hAnsi="Times New Roman" w:cs="Times New Roman"/>
        </w:rPr>
        <w:t>9.3安全生产条件符合性评价</w:t>
      </w:r>
      <w:bookmarkEnd w:id="91"/>
    </w:p>
    <w:p>
      <w:pPr>
        <w:ind w:firstLine="560" w:firstLineChars="200"/>
        <w:rPr>
          <w:rFonts w:hint="default" w:ascii="Times New Roman" w:hAnsi="Times New Roman" w:cs="Times New Roman"/>
          <w:lang w:val="zh-CN"/>
        </w:rPr>
      </w:pPr>
      <w:r>
        <w:rPr>
          <w:rFonts w:hint="default" w:ascii="Times New Roman" w:hAnsi="Times New Roman" w:cs="Times New Roman"/>
          <w:lang w:val="zh-CN"/>
        </w:rPr>
        <w:t>依据《安全生产许可证条例》（中华人民共和国国务院令第397号）和《危险化学品生产企业安全生产许可证实施办法》（国家安全监管总局令第41号，国家安全监管总局令第89号修改），危险化学品生产企业颁发安全生产许可证的审查内容有2</w:t>
      </w:r>
      <w:r>
        <w:rPr>
          <w:rFonts w:hint="default" w:ascii="Times New Roman" w:hAnsi="Times New Roman" w:cs="Times New Roman"/>
        </w:rPr>
        <w:t>8</w:t>
      </w:r>
      <w:r>
        <w:rPr>
          <w:rFonts w:hint="default" w:ascii="Times New Roman" w:hAnsi="Times New Roman" w:cs="Times New Roman"/>
          <w:lang w:val="zh-CN"/>
        </w:rPr>
        <w:t>条。根据这2</w:t>
      </w:r>
      <w:r>
        <w:rPr>
          <w:rFonts w:hint="default" w:ascii="Times New Roman" w:hAnsi="Times New Roman" w:cs="Times New Roman"/>
        </w:rPr>
        <w:t>8</w:t>
      </w:r>
      <w:r>
        <w:rPr>
          <w:rFonts w:hint="default" w:ascii="Times New Roman" w:hAnsi="Times New Roman" w:cs="Times New Roman"/>
          <w:lang w:val="zh-CN"/>
        </w:rPr>
        <w:t>项内容，对上饶市广氟医药化工有限公司的安全生产条件逐一进行了检查，检查结果为对上饶市广氟医药化工有限公司存在的安全隐患项整改完成后符合安全生产条件。</w:t>
      </w:r>
    </w:p>
    <w:p>
      <w:pPr>
        <w:spacing w:line="500" w:lineRule="exact"/>
        <w:ind w:firstLine="560" w:firstLineChars="200"/>
        <w:rPr>
          <w:rFonts w:hint="default" w:ascii="Times New Roman" w:hAnsi="Times New Roman" w:cs="Times New Roman"/>
        </w:rPr>
      </w:pPr>
      <w:r>
        <w:rPr>
          <w:rFonts w:hint="default" w:ascii="Times New Roman" w:hAnsi="Times New Roman" w:cs="Times New Roman"/>
        </w:rPr>
        <w:t>1.《安全生产许可证条例》要求的安全生产条件见下表。</w:t>
      </w:r>
    </w:p>
    <w:p>
      <w:pPr>
        <w:spacing w:line="500" w:lineRule="exact"/>
        <w:jc w:val="center"/>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9</w:t>
      </w:r>
      <w:r>
        <w:rPr>
          <w:rFonts w:hint="default" w:ascii="Times New Roman" w:hAnsi="Times New Roman" w:cs="Times New Roman"/>
        </w:rPr>
        <w:t>.3-1 安全生产许可证安全生产条件符合性评价表</w:t>
      </w:r>
    </w:p>
    <w:tbl>
      <w:tblPr>
        <w:tblStyle w:val="25"/>
        <w:tblW w:w="928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25"/>
        <w:gridCol w:w="4500"/>
        <w:gridCol w:w="2700"/>
        <w:gridCol w:w="126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25"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项目</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450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评价内容</w:t>
            </w:r>
          </w:p>
        </w:tc>
        <w:tc>
          <w:tcPr>
            <w:tcW w:w="270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现状记录</w:t>
            </w:r>
          </w:p>
        </w:tc>
        <w:tc>
          <w:tcPr>
            <w:tcW w:w="126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评价结果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25" w:type="dxa"/>
            <w:vAlign w:val="center"/>
          </w:tcPr>
          <w:p>
            <w:pPr>
              <w:numPr>
                <w:ilvl w:val="0"/>
                <w:numId w:val="21"/>
              </w:numPr>
              <w:spacing w:line="240" w:lineRule="auto"/>
              <w:rPr>
                <w:rFonts w:hint="default" w:ascii="Times New Roman" w:hAnsi="Times New Roman" w:cs="Times New Roman"/>
                <w:sz w:val="21"/>
                <w:szCs w:val="21"/>
              </w:rPr>
            </w:pPr>
          </w:p>
        </w:tc>
        <w:tc>
          <w:tcPr>
            <w:tcW w:w="4500" w:type="dxa"/>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建立、健全安全生产责任制，制定完备的安全生产规章制度和操作规程</w:t>
            </w:r>
          </w:p>
        </w:tc>
        <w:tc>
          <w:tcPr>
            <w:tcW w:w="270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建立安全生产责任制、安全生产规章制度和操作规程</w:t>
            </w:r>
          </w:p>
        </w:tc>
        <w:tc>
          <w:tcPr>
            <w:tcW w:w="126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25" w:type="dxa"/>
            <w:vAlign w:val="center"/>
          </w:tcPr>
          <w:p>
            <w:pPr>
              <w:numPr>
                <w:ilvl w:val="0"/>
                <w:numId w:val="21"/>
              </w:numPr>
              <w:spacing w:line="240" w:lineRule="auto"/>
              <w:jc w:val="center"/>
              <w:rPr>
                <w:rFonts w:hint="default" w:ascii="Times New Roman" w:hAnsi="Times New Roman" w:cs="Times New Roman"/>
                <w:sz w:val="21"/>
                <w:szCs w:val="21"/>
              </w:rPr>
            </w:pPr>
          </w:p>
        </w:tc>
        <w:tc>
          <w:tcPr>
            <w:tcW w:w="4500" w:type="dxa"/>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安全投入符合安全生产要求</w:t>
            </w:r>
          </w:p>
        </w:tc>
        <w:tc>
          <w:tcPr>
            <w:tcW w:w="270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安全投入有制度保证，投入符合要求</w:t>
            </w:r>
          </w:p>
        </w:tc>
        <w:tc>
          <w:tcPr>
            <w:tcW w:w="126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25" w:type="dxa"/>
            <w:vAlign w:val="center"/>
          </w:tcPr>
          <w:p>
            <w:pPr>
              <w:numPr>
                <w:ilvl w:val="0"/>
                <w:numId w:val="21"/>
              </w:numPr>
              <w:spacing w:line="240" w:lineRule="auto"/>
              <w:jc w:val="center"/>
              <w:rPr>
                <w:rFonts w:hint="default" w:ascii="Times New Roman" w:hAnsi="Times New Roman" w:cs="Times New Roman"/>
                <w:sz w:val="21"/>
                <w:szCs w:val="21"/>
              </w:rPr>
            </w:pPr>
          </w:p>
        </w:tc>
        <w:tc>
          <w:tcPr>
            <w:tcW w:w="4500" w:type="dxa"/>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设置安全生产管理机构，配备专职安全生产管理人员</w:t>
            </w:r>
          </w:p>
        </w:tc>
        <w:tc>
          <w:tcPr>
            <w:tcW w:w="270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配备了专职安全生产管理人员</w:t>
            </w:r>
          </w:p>
        </w:tc>
        <w:tc>
          <w:tcPr>
            <w:tcW w:w="126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25" w:type="dxa"/>
            <w:vAlign w:val="center"/>
          </w:tcPr>
          <w:p>
            <w:pPr>
              <w:numPr>
                <w:ilvl w:val="0"/>
                <w:numId w:val="21"/>
              </w:numPr>
              <w:spacing w:line="240" w:lineRule="auto"/>
              <w:jc w:val="center"/>
              <w:rPr>
                <w:rFonts w:hint="default" w:ascii="Times New Roman" w:hAnsi="Times New Roman" w:cs="Times New Roman"/>
                <w:sz w:val="21"/>
                <w:szCs w:val="21"/>
              </w:rPr>
            </w:pPr>
          </w:p>
        </w:tc>
        <w:tc>
          <w:tcPr>
            <w:tcW w:w="4500" w:type="dxa"/>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主要负责人和安全生产管理人员经考核合格</w:t>
            </w:r>
          </w:p>
        </w:tc>
        <w:tc>
          <w:tcPr>
            <w:tcW w:w="270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已取得资格证</w:t>
            </w:r>
          </w:p>
        </w:tc>
        <w:tc>
          <w:tcPr>
            <w:tcW w:w="126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25" w:type="dxa"/>
            <w:vAlign w:val="center"/>
          </w:tcPr>
          <w:p>
            <w:pPr>
              <w:numPr>
                <w:ilvl w:val="0"/>
                <w:numId w:val="21"/>
              </w:numPr>
              <w:spacing w:line="240" w:lineRule="auto"/>
              <w:jc w:val="center"/>
              <w:rPr>
                <w:rFonts w:hint="default" w:ascii="Times New Roman" w:hAnsi="Times New Roman" w:cs="Times New Roman"/>
                <w:sz w:val="21"/>
                <w:szCs w:val="21"/>
              </w:rPr>
            </w:pPr>
          </w:p>
        </w:tc>
        <w:tc>
          <w:tcPr>
            <w:tcW w:w="4500" w:type="dxa"/>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特种作业人员经有关业务主管部门考核合格，取得特种作业操作资格证书</w:t>
            </w:r>
          </w:p>
        </w:tc>
        <w:tc>
          <w:tcPr>
            <w:tcW w:w="270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已取证</w:t>
            </w:r>
          </w:p>
        </w:tc>
        <w:tc>
          <w:tcPr>
            <w:tcW w:w="126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25" w:type="dxa"/>
            <w:vAlign w:val="center"/>
          </w:tcPr>
          <w:p>
            <w:pPr>
              <w:numPr>
                <w:ilvl w:val="0"/>
                <w:numId w:val="21"/>
              </w:numPr>
              <w:spacing w:line="240" w:lineRule="auto"/>
              <w:jc w:val="center"/>
              <w:rPr>
                <w:rFonts w:hint="default" w:ascii="Times New Roman" w:hAnsi="Times New Roman" w:cs="Times New Roman"/>
                <w:sz w:val="21"/>
                <w:szCs w:val="21"/>
              </w:rPr>
            </w:pPr>
          </w:p>
        </w:tc>
        <w:tc>
          <w:tcPr>
            <w:tcW w:w="4500" w:type="dxa"/>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从业人员经安全生产教育和培训合格</w:t>
            </w:r>
          </w:p>
        </w:tc>
        <w:tc>
          <w:tcPr>
            <w:tcW w:w="270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经过培训并考核合格上岗</w:t>
            </w:r>
          </w:p>
        </w:tc>
        <w:tc>
          <w:tcPr>
            <w:tcW w:w="126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25" w:type="dxa"/>
            <w:vAlign w:val="center"/>
          </w:tcPr>
          <w:p>
            <w:pPr>
              <w:numPr>
                <w:ilvl w:val="0"/>
                <w:numId w:val="21"/>
              </w:numPr>
              <w:spacing w:line="240" w:lineRule="auto"/>
              <w:jc w:val="center"/>
              <w:rPr>
                <w:rFonts w:hint="default" w:ascii="Times New Roman" w:hAnsi="Times New Roman" w:cs="Times New Roman"/>
                <w:sz w:val="21"/>
                <w:szCs w:val="21"/>
              </w:rPr>
            </w:pPr>
          </w:p>
        </w:tc>
        <w:tc>
          <w:tcPr>
            <w:tcW w:w="4500" w:type="dxa"/>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依法参加工伤保险，为从业人员缴纳保险费</w:t>
            </w:r>
          </w:p>
        </w:tc>
        <w:tc>
          <w:tcPr>
            <w:tcW w:w="270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参加工伤保险，为从业人员缴纳保险费</w:t>
            </w:r>
          </w:p>
        </w:tc>
        <w:tc>
          <w:tcPr>
            <w:tcW w:w="126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25" w:type="dxa"/>
            <w:vAlign w:val="center"/>
          </w:tcPr>
          <w:p>
            <w:pPr>
              <w:numPr>
                <w:ilvl w:val="0"/>
                <w:numId w:val="21"/>
              </w:numPr>
              <w:spacing w:line="240" w:lineRule="auto"/>
              <w:jc w:val="center"/>
              <w:rPr>
                <w:rFonts w:hint="default" w:ascii="Times New Roman" w:hAnsi="Times New Roman" w:cs="Times New Roman"/>
                <w:sz w:val="21"/>
                <w:szCs w:val="21"/>
              </w:rPr>
            </w:pPr>
          </w:p>
        </w:tc>
        <w:tc>
          <w:tcPr>
            <w:tcW w:w="4500" w:type="dxa"/>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厂房、作业场所和安全设施、设备、工艺符合有关安全生产法律、法规、标准和规程的要求</w:t>
            </w:r>
          </w:p>
        </w:tc>
        <w:tc>
          <w:tcPr>
            <w:tcW w:w="2700" w:type="dxa"/>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厂房、作业场所和安全设施、设备、工艺符合有关安全生产法律、法规、标准和规程的要求</w:t>
            </w:r>
          </w:p>
        </w:tc>
        <w:tc>
          <w:tcPr>
            <w:tcW w:w="126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25" w:type="dxa"/>
            <w:vAlign w:val="center"/>
          </w:tcPr>
          <w:p>
            <w:pPr>
              <w:numPr>
                <w:ilvl w:val="0"/>
                <w:numId w:val="21"/>
              </w:numPr>
              <w:spacing w:line="240" w:lineRule="auto"/>
              <w:jc w:val="center"/>
              <w:rPr>
                <w:rFonts w:hint="default" w:ascii="Times New Roman" w:hAnsi="Times New Roman" w:cs="Times New Roman"/>
                <w:sz w:val="21"/>
                <w:szCs w:val="21"/>
              </w:rPr>
            </w:pPr>
          </w:p>
        </w:tc>
        <w:tc>
          <w:tcPr>
            <w:tcW w:w="4500" w:type="dxa"/>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有职业危害防治措施，并为从业人员配备符合国家标准或者行业标准的劳动防护用品</w:t>
            </w:r>
          </w:p>
        </w:tc>
        <w:tc>
          <w:tcPr>
            <w:tcW w:w="270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有职业危害防治措施，配备符合标准的劳动防护用品</w:t>
            </w:r>
          </w:p>
        </w:tc>
        <w:tc>
          <w:tcPr>
            <w:tcW w:w="126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25" w:type="dxa"/>
            <w:vAlign w:val="center"/>
          </w:tcPr>
          <w:p>
            <w:pPr>
              <w:numPr>
                <w:ilvl w:val="0"/>
                <w:numId w:val="21"/>
              </w:numPr>
              <w:spacing w:line="240" w:lineRule="auto"/>
              <w:jc w:val="center"/>
              <w:rPr>
                <w:rFonts w:hint="default" w:ascii="Times New Roman" w:hAnsi="Times New Roman" w:cs="Times New Roman"/>
                <w:sz w:val="21"/>
                <w:szCs w:val="21"/>
              </w:rPr>
            </w:pPr>
          </w:p>
        </w:tc>
        <w:tc>
          <w:tcPr>
            <w:tcW w:w="4500" w:type="dxa"/>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依法进行安全评价</w:t>
            </w:r>
          </w:p>
        </w:tc>
        <w:tc>
          <w:tcPr>
            <w:tcW w:w="270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已进行安全评价</w:t>
            </w:r>
          </w:p>
        </w:tc>
        <w:tc>
          <w:tcPr>
            <w:tcW w:w="126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25" w:type="dxa"/>
            <w:vAlign w:val="center"/>
          </w:tcPr>
          <w:p>
            <w:pPr>
              <w:numPr>
                <w:ilvl w:val="0"/>
                <w:numId w:val="21"/>
              </w:numPr>
              <w:spacing w:line="240" w:lineRule="auto"/>
              <w:jc w:val="center"/>
              <w:rPr>
                <w:rFonts w:hint="default" w:ascii="Times New Roman" w:hAnsi="Times New Roman" w:cs="Times New Roman"/>
                <w:sz w:val="21"/>
                <w:szCs w:val="21"/>
              </w:rPr>
            </w:pPr>
          </w:p>
        </w:tc>
        <w:tc>
          <w:tcPr>
            <w:tcW w:w="4500" w:type="dxa"/>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有重大危险源检测、评估、监控措施和应急预案</w:t>
            </w:r>
          </w:p>
        </w:tc>
        <w:tc>
          <w:tcPr>
            <w:tcW w:w="270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该</w:t>
            </w:r>
            <w:r>
              <w:rPr>
                <w:rFonts w:hint="eastAsia" w:cs="Times New Roman"/>
                <w:sz w:val="21"/>
                <w:szCs w:val="21"/>
                <w:lang w:val="en-US" w:eastAsia="zh-CN"/>
              </w:rPr>
              <w:t>企业</w:t>
            </w:r>
            <w:r>
              <w:rPr>
                <w:rFonts w:hint="default" w:ascii="Times New Roman" w:hAnsi="Times New Roman" w:cs="Times New Roman"/>
                <w:sz w:val="21"/>
                <w:szCs w:val="21"/>
              </w:rPr>
              <w:t>各生产、储存单元不构成重大危险源</w:t>
            </w:r>
          </w:p>
        </w:tc>
        <w:tc>
          <w:tcPr>
            <w:tcW w:w="126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25" w:type="dxa"/>
            <w:vAlign w:val="center"/>
          </w:tcPr>
          <w:p>
            <w:pPr>
              <w:numPr>
                <w:ilvl w:val="0"/>
                <w:numId w:val="21"/>
              </w:numPr>
              <w:spacing w:line="240" w:lineRule="auto"/>
              <w:jc w:val="center"/>
              <w:rPr>
                <w:rFonts w:hint="default" w:ascii="Times New Roman" w:hAnsi="Times New Roman" w:cs="Times New Roman"/>
                <w:sz w:val="21"/>
                <w:szCs w:val="21"/>
              </w:rPr>
            </w:pPr>
          </w:p>
        </w:tc>
        <w:tc>
          <w:tcPr>
            <w:tcW w:w="4500" w:type="dxa"/>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有生产安全事故应急救援预案、应急救援组织或者应急救援人员，配备必要的应急救援器材、设备</w:t>
            </w:r>
          </w:p>
        </w:tc>
        <w:tc>
          <w:tcPr>
            <w:tcW w:w="270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有事故应急救援预案、应急救援组织，配置相应消防器材</w:t>
            </w:r>
          </w:p>
        </w:tc>
        <w:tc>
          <w:tcPr>
            <w:tcW w:w="126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825" w:type="dxa"/>
            <w:vAlign w:val="center"/>
          </w:tcPr>
          <w:p>
            <w:pPr>
              <w:numPr>
                <w:ilvl w:val="0"/>
                <w:numId w:val="21"/>
              </w:numPr>
              <w:spacing w:line="240" w:lineRule="auto"/>
              <w:jc w:val="center"/>
              <w:rPr>
                <w:rFonts w:hint="default" w:ascii="Times New Roman" w:hAnsi="Times New Roman" w:cs="Times New Roman"/>
                <w:sz w:val="21"/>
                <w:szCs w:val="21"/>
              </w:rPr>
            </w:pPr>
          </w:p>
        </w:tc>
        <w:tc>
          <w:tcPr>
            <w:tcW w:w="4500" w:type="dxa"/>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法律、法规规定的其他条件</w:t>
            </w:r>
          </w:p>
        </w:tc>
        <w:tc>
          <w:tcPr>
            <w:tcW w:w="270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营业执照、土地文件、安全管理人员证等</w:t>
            </w:r>
          </w:p>
        </w:tc>
        <w:tc>
          <w:tcPr>
            <w:tcW w:w="126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bl>
    <w:p>
      <w:pPr>
        <w:spacing w:line="500" w:lineRule="exact"/>
        <w:ind w:firstLine="560" w:firstLineChars="200"/>
        <w:rPr>
          <w:rFonts w:hint="default" w:ascii="Times New Roman" w:hAnsi="Times New Roman" w:cs="Times New Roman"/>
        </w:rPr>
      </w:pPr>
      <w:r>
        <w:rPr>
          <w:rFonts w:hint="default" w:ascii="Times New Roman" w:hAnsi="Times New Roman" w:cs="Times New Roman"/>
        </w:rPr>
        <w:t>2.《危险化学品生产企业安全生产许可证实施办法》要求的安全生产条件见下表。</w:t>
      </w:r>
    </w:p>
    <w:p>
      <w:pPr>
        <w:jc w:val="center"/>
        <w:rPr>
          <w:rFonts w:hint="default" w:ascii="Times New Roman" w:hAnsi="Times New Roman" w:cs="Times New Roman"/>
          <w:sz w:val="24"/>
          <w:szCs w:val="24"/>
        </w:rPr>
      </w:pPr>
      <w:r>
        <w:rPr>
          <w:rFonts w:hint="default" w:ascii="Times New Roman" w:hAnsi="Times New Roman" w:cs="Times New Roman"/>
          <w:sz w:val="24"/>
          <w:szCs w:val="24"/>
        </w:rPr>
        <w:t>表</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rPr>
        <w:t>.3-2危险化学品生产企业安全生产许可证实施办法安全生产条件符合性评价表</w:t>
      </w:r>
    </w:p>
    <w:tbl>
      <w:tblPr>
        <w:tblStyle w:val="25"/>
        <w:tblW w:w="4998"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629"/>
        <w:gridCol w:w="5606"/>
        <w:gridCol w:w="2417"/>
        <w:gridCol w:w="632"/>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tcBorders>
              <w:top w:val="single" w:color="auto" w:sz="2" w:space="0"/>
            </w:tcBorders>
            <w:vAlign w:val="center"/>
          </w:tcPr>
          <w:p>
            <w:pPr>
              <w:numPr>
                <w:ilvl w:val="0"/>
                <w:numId w:val="22"/>
              </w:numPr>
              <w:spacing w:line="240" w:lineRule="auto"/>
              <w:jc w:val="center"/>
              <w:rPr>
                <w:rFonts w:hint="default" w:ascii="Times New Roman" w:hAnsi="Times New Roman" w:cs="Times New Roman"/>
                <w:sz w:val="21"/>
                <w:szCs w:val="21"/>
              </w:rPr>
            </w:pPr>
          </w:p>
        </w:tc>
        <w:tc>
          <w:tcPr>
            <w:tcW w:w="3017" w:type="pct"/>
            <w:tcBorders>
              <w:top w:val="single" w:color="auto" w:sz="2" w:space="0"/>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企业选址布局、规划设计以及与重要场所、设施、区域的距离应当符合下列要求：</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（一）国家产业政策；当地县级以上（含县级）人民政府的规划和布局；新设立企业建在地方人民政府规划的专门用于危险化学品生产、储存的区域内；</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二）危险化学品生产装置或者储存危险化学品数量构成重大危险源的储存设施，与《危险化学品安全管理条例》第十九条第一款规定的八类场所、设施、区域的距离符合有关法律、法规、规章和国家标准或者行业标准的规定；</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（三）总体布局符合《化工企业总图运输设计规范》（GB50489）、《工业企业总平面设计规范》（GB50187）、《建筑设计防火规范》（GB50016）等标准的要求。</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石油化工企业除符合本条第一款规定条件外，还应当符合《石油化工企业设计防火标准》（GB50160）的要求。</w:t>
            </w:r>
          </w:p>
        </w:tc>
        <w:tc>
          <w:tcPr>
            <w:tcW w:w="1301" w:type="pct"/>
            <w:tcBorders>
              <w:top w:val="single" w:color="auto" w:sz="2"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1.该企</w:t>
            </w:r>
            <w:r>
              <w:rPr>
                <w:rFonts w:hint="default" w:ascii="Times New Roman" w:hAnsi="Times New Roman" w:eastAsia="宋体" w:cs="Times New Roman"/>
                <w:sz w:val="21"/>
                <w:szCs w:val="21"/>
              </w:rPr>
              <w:t>业位于上饶高新技术产业园区，符合当时的规划。</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2.该公司各生产、储存单元不构成重大危险源，生产装置与八类场所符合要求。</w:t>
            </w:r>
          </w:p>
          <w:p>
            <w:pPr>
              <w:spacing w:line="240" w:lineRule="auto"/>
              <w:jc w:val="left"/>
              <w:rPr>
                <w:rFonts w:hint="default" w:ascii="Times New Roman" w:hAnsi="Times New Roman" w:cs="Times New Roman"/>
                <w:b/>
                <w:bCs/>
                <w:sz w:val="21"/>
                <w:szCs w:val="21"/>
              </w:rPr>
            </w:pPr>
            <w:r>
              <w:rPr>
                <w:rFonts w:hint="default" w:ascii="Times New Roman" w:hAnsi="Times New Roman" w:cs="Times New Roman"/>
                <w:sz w:val="21"/>
                <w:szCs w:val="21"/>
              </w:rPr>
              <w:t>3.总体布局符合GB50489、GB50187、GB50016等标准的要求。</w:t>
            </w:r>
          </w:p>
        </w:tc>
        <w:tc>
          <w:tcPr>
            <w:tcW w:w="340" w:type="pct"/>
            <w:tcBorders>
              <w:top w:val="single" w:color="auto" w:sz="2"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520" w:hRule="atLeast"/>
          <w:jc w:val="center"/>
        </w:trPr>
        <w:tc>
          <w:tcPr>
            <w:tcW w:w="339" w:type="pct"/>
            <w:vAlign w:val="center"/>
          </w:tcPr>
          <w:p>
            <w:pPr>
              <w:numPr>
                <w:ilvl w:val="0"/>
                <w:numId w:val="22"/>
              </w:numPr>
              <w:spacing w:line="240" w:lineRule="auto"/>
              <w:jc w:val="center"/>
              <w:rPr>
                <w:rFonts w:hint="default" w:ascii="Times New Roman" w:hAnsi="Times New Roman" w:cs="Times New Roman"/>
                <w:sz w:val="21"/>
                <w:szCs w:val="21"/>
              </w:rPr>
            </w:pPr>
          </w:p>
        </w:tc>
        <w:tc>
          <w:tcPr>
            <w:tcW w:w="3017"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企业的厂房、作业场所、储存设施和安全设施、设备、工艺应当符合下列要求：</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一）新建、改建、扩建建设项目经具备国家规定资质的单位设计、制造和施工建设；涉及危险化工工艺、重点监管危险化学品的装置，由具有综合甲级资质或者化工石化专业甲级设计资质的化工石化设计单位设计；</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二）不得采用国家明令淘汰、禁止使用和危及安全生产的工艺、设备；新开发的危险化学品生产工艺必须在小试、中试、工业化试验的基础上逐步放大到工业化生产；国内首次使用的化工工艺，必须经过省级人民政府有关部门组织的安全可靠性论证；</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（三）涉及危险化工工艺、重点监管危险化学品的装置装设自动化控制系统；涉及危险化工工艺的大型化工装置装设紧急停车系统；涉及易燃易爆、有毒有害气体化学品的场所装设易燃</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易爆、有毒有害介质泄漏报警等安全设施；</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（四）生产区与非生产区分开设置，并符合国家标准或者行业标准规定的距离；</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（五）危险化学品生产装置和储存设施之间及其与建（构）筑物之间的距离符合有关标准规范的规定。</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同一厂区内的设备、设施及建（构）筑物的布置必须适用同一标准的规定。</w:t>
            </w:r>
          </w:p>
        </w:tc>
        <w:tc>
          <w:tcPr>
            <w:tcW w:w="1301"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1.涉及重点监管的危险化学品</w:t>
            </w:r>
            <w:r>
              <w:rPr>
                <w:rFonts w:hint="default" w:ascii="Times New Roman" w:hAnsi="Times New Roman" w:cs="Times New Roman"/>
                <w:sz w:val="21"/>
                <w:szCs w:val="21"/>
                <w:lang w:val="en-US" w:eastAsia="zh-CN"/>
              </w:rPr>
              <w:t>氢氟酸</w:t>
            </w:r>
            <w:r>
              <w:rPr>
                <w:rFonts w:hint="default" w:ascii="Times New Roman" w:hAnsi="Times New Roman" w:cs="Times New Roman"/>
                <w:sz w:val="21"/>
                <w:szCs w:val="21"/>
              </w:rPr>
              <w:t>，不涉及重点监管的危险工艺，由具有相应资质的设计单位设计。</w:t>
            </w:r>
          </w:p>
          <w:p>
            <w:pPr>
              <w:spacing w:line="240" w:lineRule="auto"/>
              <w:jc w:val="left"/>
              <w:rPr>
                <w:rFonts w:hint="default" w:ascii="Times New Roman" w:hAnsi="Times New Roman" w:cs="Times New Roman"/>
                <w:kern w:val="0"/>
                <w:sz w:val="21"/>
                <w:szCs w:val="21"/>
              </w:rPr>
            </w:pPr>
            <w:r>
              <w:rPr>
                <w:rFonts w:hint="default" w:ascii="Times New Roman" w:hAnsi="Times New Roman" w:cs="Times New Roman"/>
                <w:sz w:val="21"/>
                <w:szCs w:val="21"/>
              </w:rPr>
              <w:t>2.不涉及国家明令淘汰、禁止使用和危及安全生产的工艺、设备</w:t>
            </w:r>
            <w:r>
              <w:rPr>
                <w:rFonts w:hint="default" w:ascii="Times New Roman" w:hAnsi="Times New Roman" w:cs="Times New Roman"/>
                <w:kern w:val="0"/>
                <w:sz w:val="21"/>
                <w:szCs w:val="21"/>
              </w:rPr>
              <w:t>。</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3.涉及重点监管的危险化学品</w:t>
            </w:r>
            <w:r>
              <w:rPr>
                <w:rFonts w:hint="default" w:ascii="Times New Roman" w:hAnsi="Times New Roman" w:cs="Times New Roman"/>
                <w:sz w:val="21"/>
                <w:szCs w:val="21"/>
                <w:lang w:val="en-US" w:eastAsia="zh-CN"/>
              </w:rPr>
              <w:t>氢氟酸</w:t>
            </w:r>
            <w:r>
              <w:rPr>
                <w:rFonts w:hint="default" w:ascii="Times New Roman" w:hAnsi="Times New Roman" w:cs="Times New Roman"/>
                <w:sz w:val="21"/>
                <w:szCs w:val="21"/>
              </w:rPr>
              <w:t>，不涉及重点监管的危险工艺，主要为现场控制和</w:t>
            </w:r>
            <w:r>
              <w:rPr>
                <w:rFonts w:hint="default" w:ascii="Times New Roman" w:hAnsi="Times New Roman" w:cs="Times New Roman"/>
                <w:sz w:val="21"/>
                <w:szCs w:val="21"/>
                <w:lang w:val="en-US" w:eastAsia="zh-CN"/>
              </w:rPr>
              <w:t>PLC</w:t>
            </w:r>
            <w:r>
              <w:rPr>
                <w:rFonts w:hint="default" w:ascii="Times New Roman" w:hAnsi="Times New Roman" w:cs="Times New Roman"/>
                <w:sz w:val="21"/>
                <w:szCs w:val="21"/>
              </w:rPr>
              <w:t>控制</w:t>
            </w:r>
            <w:r>
              <w:rPr>
                <w:rFonts w:hint="default" w:ascii="Times New Roman" w:hAnsi="Times New Roman" w:cs="Times New Roman"/>
                <w:kern w:val="0"/>
                <w:sz w:val="21"/>
                <w:szCs w:val="21"/>
              </w:rPr>
              <w:t>。</w:t>
            </w:r>
          </w:p>
          <w:p>
            <w:pPr>
              <w:spacing w:line="240" w:lineRule="auto"/>
              <w:jc w:val="left"/>
              <w:rPr>
                <w:rFonts w:hint="default" w:ascii="Times New Roman" w:hAnsi="Times New Roman" w:cs="Times New Roman"/>
                <w:kern w:val="0"/>
                <w:sz w:val="21"/>
                <w:szCs w:val="21"/>
              </w:rPr>
            </w:pPr>
            <w:r>
              <w:rPr>
                <w:rFonts w:hint="default" w:ascii="Times New Roman" w:hAnsi="Times New Roman" w:cs="Times New Roman"/>
                <w:sz w:val="21"/>
                <w:szCs w:val="21"/>
              </w:rPr>
              <w:t>4.</w:t>
            </w:r>
            <w:r>
              <w:rPr>
                <w:rFonts w:hint="default" w:ascii="Times New Roman" w:hAnsi="Times New Roman" w:cs="Times New Roman"/>
                <w:kern w:val="0"/>
                <w:sz w:val="21"/>
                <w:szCs w:val="21"/>
              </w:rPr>
              <w:t>生产区与非生产区分开设置。</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5.</w:t>
            </w:r>
            <w:r>
              <w:rPr>
                <w:rFonts w:hint="default" w:ascii="Times New Roman" w:hAnsi="Times New Roman" w:cs="Times New Roman"/>
                <w:kern w:val="0"/>
                <w:sz w:val="21"/>
                <w:szCs w:val="21"/>
              </w:rPr>
              <w:t>危险化学品生产装置和储存设施之间及其与建（构）筑物之间的距离符合要求，该</w:t>
            </w:r>
            <w:r>
              <w:rPr>
                <w:rFonts w:hint="eastAsia" w:cs="Times New Roman"/>
                <w:kern w:val="0"/>
                <w:sz w:val="21"/>
                <w:szCs w:val="21"/>
                <w:lang w:val="en-US" w:eastAsia="zh-CN"/>
              </w:rPr>
              <w:t>企业</w:t>
            </w:r>
            <w:r>
              <w:rPr>
                <w:rFonts w:hint="default" w:ascii="Times New Roman" w:hAnsi="Times New Roman" w:cs="Times New Roman"/>
                <w:kern w:val="0"/>
                <w:sz w:val="21"/>
                <w:szCs w:val="21"/>
              </w:rPr>
              <w:t>已制定防护措施。</w:t>
            </w:r>
          </w:p>
        </w:tc>
        <w:tc>
          <w:tcPr>
            <w:tcW w:w="340"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Align w:val="center"/>
          </w:tcPr>
          <w:p>
            <w:pPr>
              <w:numPr>
                <w:ilvl w:val="0"/>
                <w:numId w:val="22"/>
              </w:numPr>
              <w:spacing w:line="240" w:lineRule="auto"/>
              <w:jc w:val="center"/>
              <w:rPr>
                <w:rFonts w:hint="default" w:ascii="Times New Roman" w:hAnsi="Times New Roman" w:cs="Times New Roman"/>
                <w:sz w:val="21"/>
                <w:szCs w:val="21"/>
              </w:rPr>
            </w:pPr>
          </w:p>
        </w:tc>
        <w:tc>
          <w:tcPr>
            <w:tcW w:w="3017"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企业应当有相应的职业危害防护设施，并为从业人员配备符合国家标准或者行业标准的劳动防护用品。</w:t>
            </w:r>
          </w:p>
        </w:tc>
        <w:tc>
          <w:tcPr>
            <w:tcW w:w="1301" w:type="pct"/>
            <w:vAlign w:val="center"/>
          </w:tcPr>
          <w:p>
            <w:pPr>
              <w:spacing w:line="240" w:lineRule="auto"/>
              <w:jc w:val="center"/>
              <w:rPr>
                <w:rFonts w:hint="default" w:ascii="Times New Roman" w:hAnsi="Times New Roman" w:cs="Times New Roman"/>
                <w:kern w:val="0"/>
                <w:sz w:val="21"/>
                <w:szCs w:val="21"/>
              </w:rPr>
            </w:pPr>
            <w:r>
              <w:rPr>
                <w:rFonts w:hint="default" w:ascii="Times New Roman" w:hAnsi="Times New Roman" w:cs="Times New Roman"/>
                <w:spacing w:val="-6"/>
                <w:kern w:val="0"/>
                <w:sz w:val="21"/>
                <w:szCs w:val="21"/>
              </w:rPr>
              <w:t>设有相应的职业危害防护设施，并为从业人员配备符合国家标准或者行业标准的劳动防护用品</w:t>
            </w:r>
          </w:p>
        </w:tc>
        <w:tc>
          <w:tcPr>
            <w:tcW w:w="340"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Align w:val="center"/>
          </w:tcPr>
          <w:p>
            <w:pPr>
              <w:numPr>
                <w:ilvl w:val="0"/>
                <w:numId w:val="22"/>
              </w:numPr>
              <w:spacing w:line="240" w:lineRule="auto"/>
              <w:jc w:val="center"/>
              <w:rPr>
                <w:rFonts w:hint="default" w:ascii="Times New Roman" w:hAnsi="Times New Roman" w:cs="Times New Roman"/>
                <w:sz w:val="21"/>
                <w:szCs w:val="21"/>
              </w:rPr>
            </w:pPr>
          </w:p>
        </w:tc>
        <w:tc>
          <w:tcPr>
            <w:tcW w:w="3017"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 xml:space="preserve">企业应当依据《危险化学品重大危险源辨识》(GB18218)，对本企业的生产、储存和使用装置、设施或者场所进行重大危险源辨识。 </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对已确定为重大危险源的生产和储存设施，应当执行《危险化学品重大危险源监督管理暂行规定》。</w:t>
            </w:r>
          </w:p>
        </w:tc>
        <w:tc>
          <w:tcPr>
            <w:tcW w:w="1301"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kern w:val="0"/>
                <w:sz w:val="21"/>
                <w:szCs w:val="21"/>
              </w:rPr>
              <w:t>进行重大危险源辨识，</w:t>
            </w:r>
            <w:r>
              <w:rPr>
                <w:rFonts w:hint="default" w:ascii="Times New Roman" w:hAnsi="Times New Roman" w:cs="Times New Roman"/>
                <w:sz w:val="21"/>
                <w:szCs w:val="21"/>
              </w:rPr>
              <w:t>该</w:t>
            </w:r>
            <w:r>
              <w:rPr>
                <w:rFonts w:hint="eastAsia" w:cs="Times New Roman"/>
                <w:sz w:val="21"/>
                <w:szCs w:val="21"/>
                <w:lang w:val="en-US" w:eastAsia="zh-CN"/>
              </w:rPr>
              <w:t>企业</w:t>
            </w:r>
            <w:r>
              <w:rPr>
                <w:rFonts w:hint="default" w:ascii="Times New Roman" w:hAnsi="Times New Roman" w:cs="Times New Roman"/>
                <w:sz w:val="21"/>
                <w:szCs w:val="21"/>
              </w:rPr>
              <w:t>各生产、储存单元不构成重大危险源</w:t>
            </w:r>
            <w:r>
              <w:rPr>
                <w:rFonts w:hint="default" w:ascii="Times New Roman" w:hAnsi="Times New Roman" w:cs="Times New Roman"/>
                <w:kern w:val="0"/>
                <w:sz w:val="21"/>
                <w:szCs w:val="21"/>
              </w:rPr>
              <w:t>。</w:t>
            </w:r>
          </w:p>
        </w:tc>
        <w:tc>
          <w:tcPr>
            <w:tcW w:w="340"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Align w:val="center"/>
          </w:tcPr>
          <w:p>
            <w:pPr>
              <w:numPr>
                <w:ilvl w:val="0"/>
                <w:numId w:val="22"/>
              </w:numPr>
              <w:spacing w:line="240" w:lineRule="auto"/>
              <w:jc w:val="center"/>
              <w:rPr>
                <w:rFonts w:hint="default" w:ascii="Times New Roman" w:hAnsi="Times New Roman" w:cs="Times New Roman"/>
                <w:sz w:val="21"/>
                <w:szCs w:val="21"/>
              </w:rPr>
            </w:pPr>
          </w:p>
        </w:tc>
        <w:tc>
          <w:tcPr>
            <w:tcW w:w="3017"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企业应当依法设置安全生产管理机构，配备专职安全生产管理人员。配备的专职安全生产管理人员必须能够满足安全生产的需要。</w:t>
            </w:r>
          </w:p>
        </w:tc>
        <w:tc>
          <w:tcPr>
            <w:tcW w:w="1301"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设置安全生产管理机构，</w:t>
            </w:r>
            <w:r>
              <w:rPr>
                <w:rFonts w:hint="default" w:ascii="Times New Roman" w:hAnsi="Times New Roman" w:cs="Times New Roman"/>
                <w:kern w:val="0"/>
                <w:sz w:val="21"/>
                <w:szCs w:val="21"/>
              </w:rPr>
              <w:t>配备专职安全管理人员</w:t>
            </w:r>
            <w:r>
              <w:rPr>
                <w:rFonts w:hint="default" w:ascii="Times New Roman" w:hAnsi="Times New Roman" w:cs="Times New Roman"/>
                <w:sz w:val="21"/>
                <w:szCs w:val="21"/>
              </w:rPr>
              <w:t>。</w:t>
            </w:r>
          </w:p>
        </w:tc>
        <w:tc>
          <w:tcPr>
            <w:tcW w:w="340"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Align w:val="center"/>
          </w:tcPr>
          <w:p>
            <w:pPr>
              <w:keepNext w:val="0"/>
              <w:keepLines w:val="0"/>
              <w:pageBreakBefore w:val="0"/>
              <w:widowControl w:val="0"/>
              <w:numPr>
                <w:ilvl w:val="0"/>
                <w:numId w:val="22"/>
              </w:numPr>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p>
        </w:tc>
        <w:tc>
          <w:tcPr>
            <w:tcW w:w="3017" w:type="pct"/>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企业应当建立全员安全生产责任制，保证每位从业人员的安全生产责任与职务、岗位相匹配。</w:t>
            </w:r>
          </w:p>
        </w:tc>
        <w:tc>
          <w:tcPr>
            <w:tcW w:w="1301" w:type="pct"/>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建立了与职务、岗位相匹配的全员安全生产责任制。</w:t>
            </w:r>
          </w:p>
        </w:tc>
        <w:tc>
          <w:tcPr>
            <w:tcW w:w="340" w:type="pct"/>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Align w:val="center"/>
          </w:tcPr>
          <w:p>
            <w:pPr>
              <w:keepNext w:val="0"/>
              <w:keepLines w:val="0"/>
              <w:pageBreakBefore w:val="0"/>
              <w:widowControl w:val="0"/>
              <w:numPr>
                <w:ilvl w:val="0"/>
                <w:numId w:val="22"/>
              </w:numPr>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p>
        </w:tc>
        <w:tc>
          <w:tcPr>
            <w:tcW w:w="3017" w:type="pct"/>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企业应当根据化工工艺、装置、设施等实际情况，制定安全生产规章制度。逐项制度落实</w:t>
            </w:r>
          </w:p>
        </w:tc>
        <w:tc>
          <w:tcPr>
            <w:tcW w:w="1301" w:type="pct"/>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根据化工工艺、装置、设施等实际情况，制定了安全生产规章制度</w:t>
            </w:r>
          </w:p>
        </w:tc>
        <w:tc>
          <w:tcPr>
            <w:tcW w:w="340" w:type="pct"/>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Align w:val="center"/>
          </w:tcPr>
          <w:p>
            <w:pPr>
              <w:keepNext w:val="0"/>
              <w:keepLines w:val="0"/>
              <w:pageBreakBefore w:val="0"/>
              <w:widowControl w:val="0"/>
              <w:numPr>
                <w:ilvl w:val="0"/>
                <w:numId w:val="22"/>
              </w:numPr>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p>
        </w:tc>
        <w:tc>
          <w:tcPr>
            <w:tcW w:w="3017" w:type="pct"/>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企业应当根据危险化学品的生产工艺、技术、设备特点和原辅料、产品的危险性编制岗位操作安全规程。</w:t>
            </w:r>
          </w:p>
        </w:tc>
        <w:tc>
          <w:tcPr>
            <w:tcW w:w="1301" w:type="pct"/>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编制了岗位操作安全规程。</w:t>
            </w:r>
          </w:p>
        </w:tc>
        <w:tc>
          <w:tcPr>
            <w:tcW w:w="340" w:type="pct"/>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Align w:val="center"/>
          </w:tcPr>
          <w:p>
            <w:pPr>
              <w:keepNext w:val="0"/>
              <w:keepLines w:val="0"/>
              <w:pageBreakBefore w:val="0"/>
              <w:widowControl w:val="0"/>
              <w:numPr>
                <w:ilvl w:val="0"/>
                <w:numId w:val="22"/>
              </w:numPr>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p>
        </w:tc>
        <w:tc>
          <w:tcPr>
            <w:tcW w:w="3017" w:type="pct"/>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企业主要负责人、分管安全负责人和安全生产管理人员必须具备与其从事的生产经营活动相适应的安全生产知识和管理能力，依法参加安全生产培训，并经考核合格，取得安全资格证书。</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企业分管安全负责人、分管生产负责人、分管技术负责人应当具有一定的化工专业知识或者相应的专业学历，专职安全生产管理人员应当具备国民教育化工化学类（或安全工程）中等职业教育以上学历或者化工化学类中级以上专业技术职称，或者具备危险物品安全类注册安全工程师资格。</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特种作业人员应当依照《特种作业人员安全技术培训考核管理规定》，经专门的安全技术培训并考核合格，取得特种作业操作证书。</w:t>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本条第一、二、三款规定以外的其他从业人员应当按照国家有关规定，经安全教育培训合格。</w:t>
            </w:r>
          </w:p>
        </w:tc>
        <w:tc>
          <w:tcPr>
            <w:tcW w:w="1301" w:type="pct"/>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spacing w:val="-6"/>
                <w:sz w:val="21"/>
                <w:szCs w:val="21"/>
              </w:rPr>
            </w:pPr>
            <w:r>
              <w:rPr>
                <w:rFonts w:hint="default" w:ascii="Times New Roman" w:hAnsi="Times New Roman" w:cs="Times New Roman"/>
                <w:spacing w:val="-6"/>
                <w:kern w:val="0"/>
                <w:sz w:val="21"/>
                <w:szCs w:val="21"/>
              </w:rPr>
              <w:t>1.企业主要负责人和安全生产管理人员</w:t>
            </w:r>
            <w:r>
              <w:rPr>
                <w:rFonts w:hint="default" w:ascii="Times New Roman" w:hAnsi="Times New Roman" w:cs="Times New Roman"/>
                <w:spacing w:val="-6"/>
                <w:sz w:val="21"/>
                <w:szCs w:val="21"/>
              </w:rPr>
              <w:t>已取证。</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2.</w:t>
            </w:r>
            <w:r>
              <w:rPr>
                <w:rFonts w:hint="default" w:ascii="Times New Roman" w:hAnsi="Times New Roman" w:cs="Times New Roman"/>
                <w:sz w:val="21"/>
                <w:szCs w:val="21"/>
              </w:rPr>
              <w:t>企业主要负责人、分管安全负责人和安全生产管理人员具备中等职业教育以上学历，具备与其从事的生产经营活动相适应的安全生产知识和管理能力</w:t>
            </w:r>
            <w:r>
              <w:rPr>
                <w:rFonts w:hint="default" w:ascii="Times New Roman" w:hAnsi="Times New Roman" w:cs="Times New Roman"/>
                <w:kern w:val="0"/>
                <w:sz w:val="21"/>
                <w:szCs w:val="21"/>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3.</w:t>
            </w:r>
            <w:r>
              <w:rPr>
                <w:rFonts w:hint="default" w:ascii="Times New Roman" w:hAnsi="Times New Roman" w:cs="Times New Roman"/>
                <w:sz w:val="21"/>
                <w:szCs w:val="21"/>
              </w:rPr>
              <w:t>特种作业人员经专门的安全技术培训并考核合格，取得特种作业操作证书</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4.其他从业人员按照国家有关规定，经安全教育培训合格</w:t>
            </w:r>
          </w:p>
        </w:tc>
        <w:tc>
          <w:tcPr>
            <w:tcW w:w="340" w:type="pct"/>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Align w:val="center"/>
          </w:tcPr>
          <w:p>
            <w:pPr>
              <w:keepNext w:val="0"/>
              <w:keepLines w:val="0"/>
              <w:pageBreakBefore w:val="0"/>
              <w:widowControl w:val="0"/>
              <w:numPr>
                <w:ilvl w:val="0"/>
                <w:numId w:val="22"/>
              </w:numPr>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p>
        </w:tc>
        <w:tc>
          <w:tcPr>
            <w:tcW w:w="3017" w:type="pct"/>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企业应当按照国家规定提取与安全生产有关的费用，并保证安全生产所必须的资金投入。</w:t>
            </w:r>
          </w:p>
        </w:tc>
        <w:tc>
          <w:tcPr>
            <w:tcW w:w="1301" w:type="pct"/>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按规定提取与安全生产有关的费用。</w:t>
            </w:r>
          </w:p>
        </w:tc>
        <w:tc>
          <w:tcPr>
            <w:tcW w:w="340" w:type="pct"/>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Align w:val="center"/>
          </w:tcPr>
          <w:p>
            <w:pPr>
              <w:keepNext w:val="0"/>
              <w:keepLines w:val="0"/>
              <w:pageBreakBefore w:val="0"/>
              <w:widowControl w:val="0"/>
              <w:numPr>
                <w:ilvl w:val="0"/>
                <w:numId w:val="22"/>
              </w:numPr>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p>
        </w:tc>
        <w:tc>
          <w:tcPr>
            <w:tcW w:w="3017" w:type="pct"/>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企业应当依法参加工伤保险，为从业人员缴纳保险费。</w:t>
            </w:r>
          </w:p>
        </w:tc>
        <w:tc>
          <w:tcPr>
            <w:tcW w:w="1301" w:type="pct"/>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依法参加工伤保险，为从业人员缴纳保险费。</w:t>
            </w:r>
          </w:p>
        </w:tc>
        <w:tc>
          <w:tcPr>
            <w:tcW w:w="340" w:type="pct"/>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Align w:val="center"/>
          </w:tcPr>
          <w:p>
            <w:pPr>
              <w:numPr>
                <w:ilvl w:val="0"/>
                <w:numId w:val="22"/>
              </w:numPr>
              <w:spacing w:line="240" w:lineRule="exact"/>
              <w:jc w:val="center"/>
              <w:rPr>
                <w:rFonts w:hint="default" w:ascii="Times New Roman" w:hAnsi="Times New Roman" w:cs="Times New Roman"/>
                <w:sz w:val="21"/>
                <w:szCs w:val="21"/>
              </w:rPr>
            </w:pPr>
          </w:p>
        </w:tc>
        <w:tc>
          <w:tcPr>
            <w:tcW w:w="3017" w:type="pct"/>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企业应当依法委托具备国家规定资质的安全评价机构进行安全评价，并按照安全评价报告的意见对存在的安全生产问题进行整改。</w:t>
            </w:r>
          </w:p>
        </w:tc>
        <w:tc>
          <w:tcPr>
            <w:tcW w:w="1301" w:type="pct"/>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进行整改，并回复。</w:t>
            </w:r>
          </w:p>
        </w:tc>
        <w:tc>
          <w:tcPr>
            <w:tcW w:w="340" w:type="pct"/>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Align w:val="center"/>
          </w:tcPr>
          <w:p>
            <w:pPr>
              <w:keepNext w:val="0"/>
              <w:keepLines w:val="0"/>
              <w:pageBreakBefore w:val="0"/>
              <w:widowControl w:val="0"/>
              <w:numPr>
                <w:ilvl w:val="0"/>
                <w:numId w:val="22"/>
              </w:numPr>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p>
        </w:tc>
        <w:tc>
          <w:tcPr>
            <w:tcW w:w="3017" w:type="pct"/>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企业应当依法进行危险化学品登记，为用户提供化学品安全技术说明书，并在危险化学品包装（包括外包装件）上粘贴或者拴挂与包装内危险化学品相符的化学品安全标签。</w:t>
            </w:r>
          </w:p>
        </w:tc>
        <w:tc>
          <w:tcPr>
            <w:tcW w:w="1301" w:type="pct"/>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依法进行危险化学品登记。</w:t>
            </w:r>
          </w:p>
        </w:tc>
        <w:tc>
          <w:tcPr>
            <w:tcW w:w="340" w:type="pct"/>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vAlign w:val="center"/>
          </w:tcPr>
          <w:p>
            <w:pPr>
              <w:numPr>
                <w:ilvl w:val="0"/>
                <w:numId w:val="22"/>
              </w:numPr>
              <w:spacing w:line="240" w:lineRule="auto"/>
              <w:jc w:val="center"/>
              <w:rPr>
                <w:rFonts w:hint="default" w:ascii="Times New Roman" w:hAnsi="Times New Roman" w:cs="Times New Roman"/>
                <w:sz w:val="21"/>
                <w:szCs w:val="21"/>
              </w:rPr>
            </w:pPr>
          </w:p>
        </w:tc>
        <w:tc>
          <w:tcPr>
            <w:tcW w:w="3017"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企业应当符合下列应急管理要求：</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（一）按照国家有关规定编制危险化学品事故应急预案并报有关部门备案；</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（二）建立应急救援组织或者明确应急救援人员，配备必要的应急救援器材、设备设施，并定期进行演练。</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生产、储存和使用氯气、氨气、光气、硫化氢等吸入性有毒有害气体的企业，除符合本条第一款的规定外，还应当配备至少两套以上全封闭防化服；构成重大危险源的，还应当设立气体防护站（组）。</w:t>
            </w:r>
          </w:p>
        </w:tc>
        <w:tc>
          <w:tcPr>
            <w:tcW w:w="1301"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1.</w:t>
            </w:r>
            <w:r>
              <w:rPr>
                <w:rFonts w:hint="default" w:ascii="Times New Roman" w:hAnsi="Times New Roman" w:cs="Times New Roman"/>
                <w:kern w:val="0"/>
                <w:sz w:val="21"/>
                <w:szCs w:val="21"/>
              </w:rPr>
              <w:t>编制事故应急预案并报有关部门备案。</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2.</w:t>
            </w:r>
            <w:r>
              <w:rPr>
                <w:rFonts w:hint="default" w:ascii="Times New Roman" w:hAnsi="Times New Roman" w:cs="Times New Roman"/>
                <w:kern w:val="0"/>
                <w:sz w:val="21"/>
                <w:szCs w:val="21"/>
              </w:rPr>
              <w:t>建立应急救援组织，配备必要的应急救援器材、设备设施，并定期进行演练。</w:t>
            </w:r>
          </w:p>
        </w:tc>
        <w:tc>
          <w:tcPr>
            <w:tcW w:w="340" w:type="pct"/>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339" w:type="pct"/>
            <w:tcBorders>
              <w:bottom w:val="single" w:color="auto" w:sz="2" w:space="0"/>
            </w:tcBorders>
            <w:vAlign w:val="center"/>
          </w:tcPr>
          <w:p>
            <w:pPr>
              <w:numPr>
                <w:ilvl w:val="0"/>
                <w:numId w:val="22"/>
              </w:numPr>
              <w:spacing w:line="240" w:lineRule="auto"/>
              <w:jc w:val="center"/>
              <w:rPr>
                <w:rFonts w:hint="default" w:ascii="Times New Roman" w:hAnsi="Times New Roman" w:cs="Times New Roman"/>
                <w:sz w:val="21"/>
                <w:szCs w:val="21"/>
              </w:rPr>
            </w:pPr>
          </w:p>
        </w:tc>
        <w:tc>
          <w:tcPr>
            <w:tcW w:w="3017" w:type="pct"/>
            <w:tcBorders>
              <w:bottom w:val="single" w:color="auto" w:sz="2" w:space="0"/>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企业除符合本章规定的安全生产条件，还应当符合有关法律、行政法规和国家标准或者行业标准规定的其他安全生产条件。</w:t>
            </w:r>
          </w:p>
        </w:tc>
        <w:tc>
          <w:tcPr>
            <w:tcW w:w="1301" w:type="pct"/>
            <w:tcBorders>
              <w:bottom w:val="single" w:color="auto" w:sz="2" w:space="0"/>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营业执照、土地证、消防验收意见书、环保验收等。</w:t>
            </w:r>
          </w:p>
        </w:tc>
        <w:tc>
          <w:tcPr>
            <w:tcW w:w="340" w:type="pct"/>
            <w:tcBorders>
              <w:bottom w:val="single" w:color="auto" w:sz="2" w:space="0"/>
            </w:tcBorders>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符合要求</w:t>
            </w:r>
          </w:p>
        </w:tc>
      </w:tr>
    </w:tbl>
    <w:p>
      <w:pPr>
        <w:widowControl/>
        <w:overflowPunct w:val="0"/>
        <w:snapToGrid w:val="0"/>
        <w:spacing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根据《危险化学品生产企业安全生产许可证实施办法》（国家安全生产监督管理总局令2011年第41号）和《国家安全监管总局关于废止和修改危险化学品等领域七部规章的决定》（</w:t>
      </w:r>
      <w:r>
        <w:rPr>
          <w:rFonts w:hint="default" w:ascii="Times New Roman" w:hAnsi="Times New Roman" w:cs="Times New Roman"/>
        </w:rPr>
        <w:fldChar w:fldCharType="begin"/>
      </w:r>
      <w:r>
        <w:rPr>
          <w:rFonts w:hint="default" w:ascii="Times New Roman" w:hAnsi="Times New Roman" w:cs="Times New Roman"/>
        </w:rPr>
        <w:instrText xml:space="preserve"> HYPERLINK "http://baike.baidu.com/view/867660.htm" \t "_blank" </w:instrText>
      </w:r>
      <w:r>
        <w:rPr>
          <w:rFonts w:hint="default" w:ascii="Times New Roman" w:hAnsi="Times New Roman" w:cs="Times New Roman"/>
        </w:rPr>
        <w:fldChar w:fldCharType="separate"/>
      </w:r>
      <w:r>
        <w:rPr>
          <w:rFonts w:hint="default" w:ascii="Times New Roman" w:hAnsi="Times New Roman" w:cs="Times New Roman"/>
          <w:sz w:val="28"/>
          <w:szCs w:val="28"/>
        </w:rPr>
        <w:t>国家安全生产监督管理总局</w:t>
      </w:r>
      <w:r>
        <w:rPr>
          <w:rFonts w:hint="default" w:ascii="Times New Roman" w:hAnsi="Times New Roman" w:cs="Times New Roman"/>
          <w:sz w:val="28"/>
          <w:szCs w:val="28"/>
        </w:rPr>
        <w:fldChar w:fldCharType="end"/>
      </w:r>
      <w:r>
        <w:rPr>
          <w:rFonts w:hint="default" w:ascii="Times New Roman" w:hAnsi="Times New Roman" w:cs="Times New Roman"/>
          <w:sz w:val="28"/>
          <w:szCs w:val="28"/>
        </w:rPr>
        <w:t>令2015年第79号）安全生产许可证的条件，安全生产条件中的结论</w:t>
      </w:r>
      <w:r>
        <w:rPr>
          <w:rFonts w:hint="default" w:ascii="Times New Roman" w:hAnsi="Times New Roman" w:cs="Times New Roman"/>
          <w:sz w:val="28"/>
          <w:szCs w:val="28"/>
          <w:lang w:val="en-US" w:eastAsia="zh-CN"/>
        </w:rPr>
        <w:t>无</w:t>
      </w:r>
      <w:r>
        <w:rPr>
          <w:rFonts w:hint="default" w:ascii="Times New Roman" w:hAnsi="Times New Roman" w:cs="Times New Roman"/>
          <w:sz w:val="28"/>
          <w:szCs w:val="28"/>
        </w:rPr>
        <w:t>不符合要求</w:t>
      </w:r>
      <w:r>
        <w:rPr>
          <w:rFonts w:hint="default" w:ascii="Times New Roman" w:hAnsi="Times New Roman" w:cs="Times New Roman"/>
          <w:sz w:val="28"/>
          <w:szCs w:val="28"/>
          <w:lang w:val="en-US" w:eastAsia="zh-CN"/>
        </w:rPr>
        <w:t>项</w:t>
      </w:r>
      <w:r>
        <w:rPr>
          <w:rFonts w:hint="default" w:ascii="Times New Roman" w:hAnsi="Times New Roman" w:cs="Times New Roman"/>
          <w:sz w:val="28"/>
          <w:szCs w:val="28"/>
        </w:rPr>
        <w:t>。</w:t>
      </w:r>
    </w:p>
    <w:p>
      <w:pPr>
        <w:pStyle w:val="3"/>
        <w:rPr>
          <w:rFonts w:hint="default" w:ascii="Times New Roman" w:hAnsi="Times New Roman" w:cs="Times New Roman"/>
        </w:rPr>
      </w:pPr>
      <w:r>
        <w:rPr>
          <w:rFonts w:hint="default" w:ascii="Times New Roman" w:hAnsi="Times New Roman" w:cs="Times New Roman"/>
        </w:rPr>
        <w:br w:type="page"/>
      </w:r>
      <w:bookmarkStart w:id="92" w:name="_Toc6802"/>
      <w:r>
        <w:rPr>
          <w:rFonts w:hint="default" w:ascii="Times New Roman" w:hAnsi="Times New Roman" w:cs="Times New Roman"/>
        </w:rPr>
        <w:t>10安全对策措施与建议</w:t>
      </w:r>
      <w:bookmarkEnd w:id="92"/>
    </w:p>
    <w:p>
      <w:pPr>
        <w:pStyle w:val="4"/>
        <w:rPr>
          <w:rFonts w:hint="default" w:ascii="Times New Roman" w:hAnsi="Times New Roman" w:cs="Times New Roman"/>
        </w:rPr>
      </w:pPr>
      <w:bookmarkStart w:id="93" w:name="_Toc29275"/>
      <w:r>
        <w:rPr>
          <w:rFonts w:hint="default" w:ascii="Times New Roman" w:hAnsi="Times New Roman" w:cs="Times New Roman"/>
        </w:rPr>
        <w:t>10.1对不能满足安全生产条件要求的对策措施</w:t>
      </w:r>
      <w:bookmarkEnd w:id="93"/>
    </w:p>
    <w:p>
      <w:pPr>
        <w:ind w:firstLine="560" w:firstLineChars="200"/>
        <w:rPr>
          <w:rFonts w:hint="default" w:ascii="Times New Roman" w:hAnsi="Times New Roman" w:cs="Times New Roman"/>
        </w:rPr>
      </w:pPr>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rPr>
        <w:t>建成时，</w:t>
      </w:r>
      <w:r>
        <w:rPr>
          <w:rFonts w:hint="default" w:ascii="Times New Roman" w:hAnsi="Times New Roman" w:cs="Times New Roman"/>
          <w:lang w:val="en-US" w:eastAsia="zh-CN"/>
        </w:rPr>
        <w:t>位于</w:t>
      </w:r>
      <w:r>
        <w:rPr>
          <w:rFonts w:hint="default" w:ascii="Times New Roman" w:hAnsi="Times New Roman" w:cs="Times New Roman"/>
        </w:rPr>
        <w:t>上饶高新技术产业园区</w:t>
      </w:r>
      <w:r>
        <w:rPr>
          <w:rFonts w:hint="default" w:ascii="Times New Roman" w:hAnsi="Times New Roman" w:cs="Times New Roman"/>
          <w:lang w:val="en-US" w:eastAsia="zh-CN"/>
        </w:rPr>
        <w:t>的化工集中区内</w:t>
      </w:r>
      <w:r>
        <w:rPr>
          <w:rFonts w:hint="default" w:ascii="Times New Roman" w:hAnsi="Times New Roman" w:cs="Times New Roman"/>
        </w:rPr>
        <w:t>，根据《关于公布全省化工园区名单（第一批）的通知》赣工信石化字〔2021〕92号，目前上饶高新技术产业园区不属于化工园区。该</w:t>
      </w:r>
      <w:r>
        <w:rPr>
          <w:rFonts w:hint="eastAsia" w:cs="Times New Roman"/>
          <w:lang w:val="en-US" w:eastAsia="zh-CN"/>
        </w:rPr>
        <w:t>企业</w:t>
      </w:r>
      <w:r>
        <w:rPr>
          <w:rFonts w:hint="default" w:ascii="Times New Roman" w:hAnsi="Times New Roman" w:cs="Times New Roman"/>
        </w:rPr>
        <w:t>的生产工艺、产品及生产规模均未发生改变。</w:t>
      </w:r>
    </w:p>
    <w:p>
      <w:pPr>
        <w:ind w:firstLine="560" w:firstLineChars="200"/>
        <w:rPr>
          <w:rFonts w:hint="default" w:ascii="Times New Roman" w:hAnsi="Times New Roman" w:cs="Times New Roman"/>
          <w:lang w:val="en-US" w:eastAsia="zh-CN"/>
        </w:rPr>
      </w:pPr>
      <w:r>
        <w:rPr>
          <w:rFonts w:hint="default" w:ascii="Times New Roman" w:hAnsi="Times New Roman" w:cs="Times New Roman"/>
          <w:lang w:val="en-US" w:eastAsia="zh-CN"/>
        </w:rPr>
        <w:t>该</w:t>
      </w:r>
      <w:r>
        <w:rPr>
          <w:rFonts w:hint="eastAsia" w:cs="Times New Roman"/>
          <w:lang w:val="en-US" w:eastAsia="zh-CN"/>
        </w:rPr>
        <w:t>企业</w:t>
      </w:r>
      <w:r>
        <w:rPr>
          <w:rFonts w:hint="default" w:ascii="Times New Roman" w:hAnsi="Times New Roman" w:cs="Times New Roman"/>
          <w:lang w:val="en-US" w:eastAsia="zh-CN"/>
        </w:rPr>
        <w:t>根据</w:t>
      </w:r>
      <w:r>
        <w:rPr>
          <w:rFonts w:hint="default" w:ascii="Times New Roman" w:hAnsi="Times New Roman" w:cs="Times New Roman"/>
        </w:rPr>
        <w:t>《江西省应急管理厅关于印发&lt;江西省化工企业自动化提升实施方案&gt;（施行）的通知》赣应急厅[2021]190号</w:t>
      </w:r>
      <w:r>
        <w:rPr>
          <w:rFonts w:hint="default" w:ascii="Times New Roman" w:hAnsi="Times New Roman" w:eastAsia="宋体" w:cs="Times New Roman"/>
          <w:sz w:val="28"/>
          <w:szCs w:val="28"/>
          <w:lang w:val="en-US" w:eastAsia="zh-CN"/>
        </w:rPr>
        <w:t>进行了自动化设计诊断，根据</w:t>
      </w:r>
      <w:r>
        <w:rPr>
          <w:rFonts w:hint="default" w:ascii="Times New Roman" w:hAnsi="Times New Roman" w:cs="Times New Roman"/>
          <w:lang w:eastAsia="zh-CN"/>
        </w:rPr>
        <w:t>《</w:t>
      </w:r>
      <w:r>
        <w:rPr>
          <w:rFonts w:hint="default" w:ascii="Times New Roman" w:hAnsi="Times New Roman" w:cs="Times New Roman"/>
          <w:lang w:val="en-US" w:eastAsia="zh-CN"/>
        </w:rPr>
        <w:t>江西省应急厅办公室关于进一步推动危险化学品（化工）企业自动化改造提升工作的通知》赣应急办字[2023]77号的要求，企业承诺于2023年12月底前完成自动化改造提升工作，并出具承诺书，详见附件。</w:t>
      </w:r>
    </w:p>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表10.1-1 自动化控制诊断报告未采纳项整改措施一览表</w:t>
      </w:r>
    </w:p>
    <w:tbl>
      <w:tblPr>
        <w:tblStyle w:val="25"/>
        <w:tblW w:w="928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3170"/>
        <w:gridCol w:w="3727"/>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序号</w:t>
            </w:r>
          </w:p>
        </w:tc>
        <w:tc>
          <w:tcPr>
            <w:tcW w:w="3170"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需整改内容</w:t>
            </w:r>
          </w:p>
        </w:tc>
        <w:tc>
          <w:tcPr>
            <w:tcW w:w="3727"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对策措施及建议</w:t>
            </w:r>
          </w:p>
        </w:tc>
        <w:tc>
          <w:tcPr>
            <w:tcW w:w="1555"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w:t>
            </w:r>
          </w:p>
        </w:tc>
        <w:tc>
          <w:tcPr>
            <w:tcW w:w="3170"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装置高位槽未设置高高液位联锁切断进料或设溢流管道</w:t>
            </w:r>
          </w:p>
        </w:tc>
        <w:tc>
          <w:tcPr>
            <w:tcW w:w="3727"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按要求在装置高位槽置高高液位联锁切断进料或设溢流管道</w:t>
            </w:r>
          </w:p>
        </w:tc>
        <w:tc>
          <w:tcPr>
            <w:tcW w:w="1555" w:type="dxa"/>
            <w:vMerge w:val="restart"/>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企业承诺于2023年底完成整改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c>
        <w:tc>
          <w:tcPr>
            <w:tcW w:w="3170"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氢氟酸进料切断阀选用电动阀</w:t>
            </w:r>
          </w:p>
        </w:tc>
        <w:tc>
          <w:tcPr>
            <w:tcW w:w="3727"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氢氟酸进料切断阀选用气动阀</w:t>
            </w:r>
          </w:p>
        </w:tc>
        <w:tc>
          <w:tcPr>
            <w:tcW w:w="1555" w:type="dxa"/>
            <w:vMerge w:val="continue"/>
            <w:vAlign w:val="center"/>
          </w:tcPr>
          <w:p>
            <w:pPr>
              <w:pStyle w:val="6"/>
              <w:ind w:left="0" w:leftChars="0" w:firstLine="0" w:firstLineChars="0"/>
              <w:jc w:val="center"/>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w:t>
            </w:r>
          </w:p>
        </w:tc>
        <w:tc>
          <w:tcPr>
            <w:tcW w:w="3170"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氟硅酸储罐、氟硼酸、(10~20%)有水氢氟酸中间罐、碱液罐未设置高低液位报警</w:t>
            </w:r>
          </w:p>
        </w:tc>
        <w:tc>
          <w:tcPr>
            <w:tcW w:w="3727"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按要求设置高低液位报警</w:t>
            </w:r>
          </w:p>
        </w:tc>
        <w:tc>
          <w:tcPr>
            <w:tcW w:w="1555" w:type="dxa"/>
            <w:vMerge w:val="continue"/>
            <w:vAlign w:val="center"/>
          </w:tcPr>
          <w:p>
            <w:pPr>
              <w:pStyle w:val="6"/>
              <w:ind w:left="0" w:leftChars="0" w:firstLine="0" w:firstLineChars="0"/>
              <w:jc w:val="center"/>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p>
        </w:tc>
        <w:tc>
          <w:tcPr>
            <w:tcW w:w="3170"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201原料罐区有毒气体检测报警器不能覆盖所有释放源</w:t>
            </w:r>
          </w:p>
        </w:tc>
        <w:tc>
          <w:tcPr>
            <w:tcW w:w="3727"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按要求增加有毒气体检测报警器</w:t>
            </w:r>
          </w:p>
        </w:tc>
        <w:tc>
          <w:tcPr>
            <w:tcW w:w="1555" w:type="dxa"/>
            <w:vMerge w:val="continue"/>
            <w:vAlign w:val="center"/>
          </w:tcPr>
          <w:p>
            <w:pPr>
              <w:pStyle w:val="6"/>
              <w:ind w:left="0" w:leftChars="0" w:firstLine="0" w:firstLineChars="0"/>
              <w:jc w:val="center"/>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w:t>
            </w:r>
          </w:p>
        </w:tc>
        <w:tc>
          <w:tcPr>
            <w:tcW w:w="3170"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有毒气体报警器信号上传至控制室PLC系统，未设置独立的气体报警系统</w:t>
            </w:r>
          </w:p>
        </w:tc>
        <w:tc>
          <w:tcPr>
            <w:tcW w:w="3727"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按要求设置独立于基本过程控制系统的气体报警系统</w:t>
            </w:r>
          </w:p>
        </w:tc>
        <w:tc>
          <w:tcPr>
            <w:tcW w:w="1555" w:type="dxa"/>
            <w:vMerge w:val="continue"/>
            <w:vAlign w:val="center"/>
          </w:tcPr>
          <w:p>
            <w:pPr>
              <w:pStyle w:val="6"/>
              <w:ind w:left="0" w:leftChars="0" w:firstLine="0" w:firstLineChars="0"/>
              <w:jc w:val="center"/>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w:t>
            </w:r>
          </w:p>
        </w:tc>
        <w:tc>
          <w:tcPr>
            <w:tcW w:w="3170"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控制室内未按设计要求设置防静电地板，静电接地设置不完善</w:t>
            </w:r>
          </w:p>
        </w:tc>
        <w:tc>
          <w:tcPr>
            <w:tcW w:w="3727" w:type="dxa"/>
            <w:vAlign w:val="center"/>
          </w:tcPr>
          <w:p>
            <w:pPr>
              <w:pStyle w:val="6"/>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根据原安全设施设计专篇要求对控制室进行整改</w:t>
            </w:r>
          </w:p>
        </w:tc>
        <w:tc>
          <w:tcPr>
            <w:tcW w:w="1555" w:type="dxa"/>
            <w:vMerge w:val="continue"/>
            <w:vAlign w:val="center"/>
          </w:tcPr>
          <w:p>
            <w:pPr>
              <w:pStyle w:val="6"/>
              <w:ind w:left="0" w:leftChars="0" w:firstLine="0" w:firstLineChars="0"/>
              <w:jc w:val="center"/>
              <w:rPr>
                <w:rFonts w:hint="default" w:ascii="Times New Roman" w:hAnsi="Times New Roman" w:eastAsia="宋体" w:cs="Times New Roman"/>
                <w:lang w:val="en-US" w:eastAsia="zh-CN"/>
              </w:rPr>
            </w:pPr>
          </w:p>
        </w:tc>
      </w:tr>
    </w:tbl>
    <w:p>
      <w:pPr>
        <w:pStyle w:val="6"/>
        <w:rPr>
          <w:rFonts w:hint="default" w:ascii="Times New Roman" w:hAnsi="Times New Roman" w:cs="Times New Roman"/>
          <w:lang w:val="en-US" w:eastAsia="zh-CN"/>
        </w:rPr>
      </w:pPr>
    </w:p>
    <w:p>
      <w:pPr>
        <w:pStyle w:val="4"/>
        <w:rPr>
          <w:rFonts w:hint="default" w:ascii="Times New Roman" w:hAnsi="Times New Roman" w:cs="Times New Roman"/>
        </w:rPr>
      </w:pPr>
      <w:bookmarkStart w:id="94" w:name="_Toc14768"/>
      <w:r>
        <w:rPr>
          <w:rFonts w:hint="default" w:ascii="Times New Roman" w:hAnsi="Times New Roman" w:cs="Times New Roman"/>
        </w:rPr>
        <w:t>10.2对存在的事故隐患对策措施</w:t>
      </w:r>
      <w:bookmarkEnd w:id="94"/>
    </w:p>
    <w:p>
      <w:pPr>
        <w:ind w:firstLine="560" w:firstLineChars="200"/>
        <w:rPr>
          <w:rFonts w:hint="default" w:ascii="Times New Roman" w:hAnsi="Times New Roman" w:cs="Times New Roman"/>
        </w:rPr>
      </w:pPr>
      <w:r>
        <w:rPr>
          <w:rFonts w:hint="default" w:ascii="Times New Roman" w:hAnsi="Times New Roman" w:cs="Times New Roman"/>
        </w:rPr>
        <w:t>1.存在的事故隐患的对策措施</w:t>
      </w:r>
    </w:p>
    <w:p>
      <w:pPr>
        <w:ind w:firstLine="560" w:firstLineChars="200"/>
        <w:rPr>
          <w:rFonts w:hint="default" w:ascii="Times New Roman" w:hAnsi="Times New Roman" w:cs="Times New Roman"/>
        </w:rPr>
      </w:pPr>
      <w:r>
        <w:rPr>
          <w:rFonts w:hint="default" w:ascii="Times New Roman" w:hAnsi="Times New Roman" w:cs="Times New Roman"/>
        </w:rPr>
        <w:t>针对各项事故隐患，提出相应的对策措施，见表10.2-1。</w:t>
      </w:r>
    </w:p>
    <w:p>
      <w:pPr>
        <w:spacing w:line="360" w:lineRule="auto"/>
        <w:ind w:firstLine="560" w:firstLineChars="200"/>
        <w:jc w:val="center"/>
        <w:rPr>
          <w:rFonts w:hint="default" w:ascii="Times New Roman" w:hAnsi="Times New Roman" w:cs="Times New Roman"/>
        </w:rPr>
      </w:pPr>
      <w:r>
        <w:rPr>
          <w:rFonts w:hint="default" w:ascii="Times New Roman" w:hAnsi="Times New Roman" w:cs="Times New Roman"/>
        </w:rPr>
        <w:t>表10.2-1 存在的事故隐患整改措施一览表</w:t>
      </w:r>
    </w:p>
    <w:tbl>
      <w:tblPr>
        <w:tblStyle w:val="25"/>
        <w:tblW w:w="9287"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4752"/>
        <w:gridCol w:w="3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4752"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需整改内容</w:t>
            </w:r>
          </w:p>
        </w:tc>
        <w:tc>
          <w:tcPr>
            <w:tcW w:w="3812"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475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紧急通道和出入口未设置醒目的标志</w:t>
            </w:r>
            <w:r>
              <w:rPr>
                <w:rFonts w:hint="default" w:ascii="Times New Roman" w:hAnsi="Times New Roman" w:cs="Times New Roman"/>
                <w:sz w:val="21"/>
                <w:szCs w:val="21"/>
                <w:lang w:eastAsia="zh-CN"/>
              </w:rPr>
              <w:t>。</w:t>
            </w:r>
          </w:p>
        </w:tc>
        <w:tc>
          <w:tcPr>
            <w:tcW w:w="381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按要求在紧急通道和出入口设置醒目的标志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475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未为操作人员提供自吸过滤式防毒面具</w:t>
            </w:r>
            <w:r>
              <w:rPr>
                <w:rFonts w:hint="default" w:ascii="Times New Roman" w:hAnsi="Times New Roman" w:cs="Times New Roman"/>
                <w:sz w:val="21"/>
                <w:szCs w:val="21"/>
                <w:lang w:eastAsia="zh-CN"/>
              </w:rPr>
              <w:t>。</w:t>
            </w:r>
          </w:p>
        </w:tc>
        <w:tc>
          <w:tcPr>
            <w:tcW w:w="381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按要求配备自吸过滤式防毒面具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475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部分管线未设防止物料外泄或喷溅的措施。</w:t>
            </w:r>
          </w:p>
        </w:tc>
        <w:tc>
          <w:tcPr>
            <w:tcW w:w="381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按要求在有毒物料的管线上设置设防止物料外泄或喷溅的措施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475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岗位操作规程不完善</w:t>
            </w:r>
          </w:p>
        </w:tc>
        <w:tc>
          <w:tcPr>
            <w:tcW w:w="381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按要求完善岗位操作规程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475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101生产车间的地面腐蚀严重，未进行防腐处理。</w:t>
            </w:r>
          </w:p>
        </w:tc>
        <w:tc>
          <w:tcPr>
            <w:tcW w:w="381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对生产车间的地面进行防腐处理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475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未配备注册安全工程师</w:t>
            </w:r>
            <w:r>
              <w:rPr>
                <w:rFonts w:hint="default" w:ascii="Times New Roman" w:hAnsi="Times New Roman" w:cs="Times New Roman"/>
                <w:sz w:val="21"/>
                <w:szCs w:val="21"/>
                <w:lang w:eastAsia="zh-CN"/>
              </w:rPr>
              <w:t>。</w:t>
            </w:r>
          </w:p>
        </w:tc>
        <w:tc>
          <w:tcPr>
            <w:tcW w:w="3812"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按要求配备注册安全工程师</w:t>
            </w:r>
          </w:p>
        </w:tc>
      </w:tr>
    </w:tbl>
    <w:p>
      <w:pPr>
        <w:ind w:firstLine="560" w:firstLineChars="200"/>
        <w:rPr>
          <w:rFonts w:hint="default" w:ascii="Times New Roman" w:hAnsi="Times New Roman" w:cs="Times New Roman"/>
        </w:rPr>
      </w:pPr>
      <w:r>
        <w:rPr>
          <w:rFonts w:hint="default" w:ascii="Times New Roman" w:hAnsi="Times New Roman" w:cs="Times New Roman"/>
        </w:rPr>
        <w:t>2.安全隐患整改情况</w:t>
      </w:r>
    </w:p>
    <w:p>
      <w:pPr>
        <w:ind w:firstLine="560" w:firstLineChars="200"/>
        <w:rPr>
          <w:rFonts w:hint="default" w:ascii="Times New Roman" w:hAnsi="Times New Roman" w:cs="Times New Roman"/>
        </w:rPr>
      </w:pPr>
      <w:r>
        <w:rPr>
          <w:rFonts w:hint="default" w:ascii="Times New Roman" w:hAnsi="Times New Roman" w:cs="Times New Roman"/>
        </w:rPr>
        <w:t>检查中发现的不合格项，评价组及时通知了</w:t>
      </w:r>
      <w:r>
        <w:rPr>
          <w:rFonts w:hint="default" w:ascii="Times New Roman" w:hAnsi="Times New Roman" w:cs="Times New Roman"/>
          <w:lang w:eastAsia="zh-CN"/>
        </w:rPr>
        <w:t>上饶市广氟医药化工有限公司</w:t>
      </w:r>
      <w:r>
        <w:rPr>
          <w:rFonts w:hint="default" w:ascii="Times New Roman" w:hAnsi="Times New Roman" w:cs="Times New Roman"/>
        </w:rPr>
        <w:t>进行整改，该单位很重视并及时认真地进行了整改。整改回复见附件。</w:t>
      </w:r>
    </w:p>
    <w:p>
      <w:pPr>
        <w:pStyle w:val="4"/>
        <w:rPr>
          <w:rFonts w:hint="default" w:ascii="Times New Roman" w:hAnsi="Times New Roman" w:cs="Times New Roman"/>
        </w:rPr>
      </w:pPr>
      <w:r>
        <w:rPr>
          <w:rFonts w:hint="default" w:ascii="Times New Roman" w:hAnsi="Times New Roman" w:cs="Times New Roman"/>
        </w:rPr>
        <w:br w:type="page"/>
      </w:r>
      <w:bookmarkStart w:id="95" w:name="_Toc16913"/>
      <w:r>
        <w:rPr>
          <w:rFonts w:hint="default" w:ascii="Times New Roman" w:hAnsi="Times New Roman" w:cs="Times New Roman"/>
        </w:rPr>
        <w:t>10.3关于安全生产的建议</w:t>
      </w:r>
      <w:bookmarkEnd w:id="95"/>
    </w:p>
    <w:p>
      <w:pPr>
        <w:spacing w:line="540" w:lineRule="exact"/>
        <w:ind w:firstLine="560" w:firstLineChars="200"/>
        <w:rPr>
          <w:rFonts w:hint="default" w:ascii="Times New Roman" w:hAnsi="Times New Roman" w:cs="Times New Roman"/>
        </w:rPr>
      </w:pPr>
      <w:r>
        <w:rPr>
          <w:rFonts w:hint="default" w:ascii="Times New Roman" w:hAnsi="Times New Roman" w:cs="Times New Roman"/>
        </w:rPr>
        <w:t>1、管理应本着“预防为主”的原则，认真分析装置的不安全因素，做到人人心中有数；不断改善操作人员的劳动作业条件和环境、提高生产现场的安全管理水平。</w:t>
      </w:r>
    </w:p>
    <w:p>
      <w:pPr>
        <w:spacing w:line="540" w:lineRule="exact"/>
        <w:ind w:firstLine="560" w:firstLineChars="200"/>
        <w:rPr>
          <w:rFonts w:hint="default" w:ascii="Times New Roman" w:hAnsi="Times New Roman" w:cs="Times New Roman"/>
        </w:rPr>
      </w:pPr>
      <w:r>
        <w:rPr>
          <w:rFonts w:hint="default" w:ascii="Times New Roman" w:hAnsi="Times New Roman" w:cs="Times New Roman"/>
        </w:rPr>
        <w:t>2、要加强公司、车间、班组的安全检查，消除现场的各类不安全隐患；认真巡检，发现隐患及时报告；要制订公司、车间、班组的安全检查表，开展有周期的检查；发现安全隐患下达隐患整改通知，督促改进现场安全状况。</w:t>
      </w:r>
    </w:p>
    <w:p>
      <w:pPr>
        <w:spacing w:line="540" w:lineRule="exact"/>
        <w:ind w:firstLine="560" w:firstLineChars="200"/>
        <w:rPr>
          <w:rFonts w:hint="default" w:ascii="Times New Roman" w:hAnsi="Times New Roman" w:cs="Times New Roman"/>
        </w:rPr>
      </w:pPr>
      <w:r>
        <w:rPr>
          <w:rFonts w:hint="default" w:ascii="Times New Roman" w:hAnsi="Times New Roman" w:cs="Times New Roman"/>
        </w:rPr>
        <w:t>3、系统中可能存在的诸多危险、有害因素是导致发生事故的直接原因，提高设备本质安全状况是有效预防事故的根本途径。要加强日常的安全检查，及时发现并处理不安全隐患；为保证检查中发现的隐患能及时得到整改或有效控制，应建立科学的隐患传递网络，疏通隐患整改通道。同时，应根据隐患整改难易程度，按轻重缓急，分级进行处理。</w:t>
      </w:r>
    </w:p>
    <w:p>
      <w:pPr>
        <w:spacing w:line="540" w:lineRule="exact"/>
        <w:ind w:firstLine="560" w:firstLineChars="200"/>
        <w:rPr>
          <w:rFonts w:hint="default" w:ascii="Times New Roman" w:hAnsi="Times New Roman" w:cs="Times New Roman"/>
        </w:rPr>
      </w:pPr>
      <w:r>
        <w:rPr>
          <w:rFonts w:hint="default" w:ascii="Times New Roman" w:hAnsi="Times New Roman" w:cs="Times New Roman"/>
        </w:rPr>
        <w:t>4、企业应根据《江西省应急管理厅关于印发&lt;江西省化工企业自动化提升实施方案&gt;（施行）的通知》赣应急厅[2021]190号</w:t>
      </w:r>
      <w:r>
        <w:rPr>
          <w:rFonts w:hint="eastAsia" w:cs="Times New Roman"/>
          <w:lang w:eastAsia="zh-CN"/>
        </w:rPr>
        <w:t>、</w:t>
      </w:r>
      <w:r>
        <w:rPr>
          <w:rFonts w:hint="default" w:ascii="Times New Roman" w:hAnsi="Times New Roman" w:cs="Times New Roman"/>
          <w:lang w:eastAsia="zh-CN"/>
        </w:rPr>
        <w:t>《</w:t>
      </w:r>
      <w:r>
        <w:rPr>
          <w:rFonts w:hint="default" w:ascii="Times New Roman" w:hAnsi="Times New Roman" w:cs="Times New Roman"/>
          <w:lang w:val="en-US" w:eastAsia="zh-CN"/>
        </w:rPr>
        <w:t>江西省应急厅办公室关于进一步推动危险化学品（化工）企业自动化改造提升工作的通知》赣应急办字[2023]77号</w:t>
      </w:r>
      <w:r>
        <w:rPr>
          <w:rFonts w:hint="default" w:ascii="Times New Roman" w:hAnsi="Times New Roman" w:cs="Times New Roman"/>
        </w:rPr>
        <w:t>的要求</w:t>
      </w:r>
      <w:r>
        <w:rPr>
          <w:rFonts w:hint="default" w:ascii="Times New Roman" w:hAnsi="Times New Roman" w:cs="Times New Roman"/>
          <w:lang w:val="en-US" w:eastAsia="zh-CN"/>
        </w:rPr>
        <w:t>落实</w:t>
      </w:r>
      <w:r>
        <w:rPr>
          <w:rFonts w:hint="default" w:ascii="Times New Roman" w:hAnsi="Times New Roman" w:cs="Times New Roman"/>
        </w:rPr>
        <w:t>自动化提升。</w:t>
      </w:r>
    </w:p>
    <w:p>
      <w:pPr>
        <w:spacing w:line="540" w:lineRule="exact"/>
        <w:ind w:firstLine="560" w:firstLineChars="200"/>
        <w:rPr>
          <w:rFonts w:hint="default" w:ascii="Times New Roman" w:hAnsi="Times New Roman" w:cs="Times New Roman"/>
        </w:rPr>
      </w:pPr>
      <w:r>
        <w:rPr>
          <w:rFonts w:hint="default" w:ascii="Times New Roman" w:hAnsi="Times New Roman" w:cs="Times New Roman"/>
        </w:rPr>
        <w:t>5、经常检查危险场所有毒气体报警装置的可靠性，随时检测空气中检测对象的浓度。接触有害物的生产岗位应保证事故柜以及各种应急防护器材的完好性，事故状态下能保障操作工的安全。</w:t>
      </w:r>
    </w:p>
    <w:p>
      <w:pPr>
        <w:spacing w:line="540" w:lineRule="exact"/>
        <w:ind w:firstLine="560" w:firstLineChars="200"/>
        <w:rPr>
          <w:rFonts w:hint="default" w:ascii="Times New Roman" w:hAnsi="Times New Roman" w:cs="Times New Roman"/>
        </w:rPr>
      </w:pPr>
      <w:r>
        <w:rPr>
          <w:rFonts w:hint="default" w:ascii="Times New Roman" w:hAnsi="Times New Roman" w:cs="Times New Roman"/>
        </w:rPr>
        <w:t>6、依据《中华人民共和国消防法》，对于生产现场配备的消防设施和消防器材应加强检查和保养，随时更换失效的消防器材。对建筑消防设施每年至少进行一次全面检测，确保完好有效，检测记录应当完整准确，存档备查。</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7、生产过程中安全附件不得随意拆弃和解除，声、光报警等信号不能随意切断。在现场检查时，不准踩踏阀门、电线、电缆架及各种仪表管线等设施，在危险部位检查，必须有人监护。</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8、不断加强对各级安全生产管理和监督人员的安全生产法律、法规和业务素质的培训，提高安全生产专职管理和监督人员的学历和技术职称。</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9、坚持作好安全生产检查工作，在保证安全生产检查次数的基础上，使安全生产检查方式更加切实有效，进行综合性和系统性的安全生产检查后，应进行安全评估，对评估出的问题及时制定改进措施。</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10、不断完善安全生产规章制度，根据国家安全生产法律、法规和标准的不断发布和完善，及时增补和完善安全生产规章制度，逐步完善安全生产管理规章制度体系，以更好的规范生产经营活动。</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11、涉及</w:t>
      </w:r>
      <w:r>
        <w:rPr>
          <w:rFonts w:hint="default" w:ascii="Times New Roman" w:hAnsi="Times New Roman" w:cs="Times New Roman"/>
          <w:lang w:val="en-US" w:eastAsia="zh-CN"/>
        </w:rPr>
        <w:t>有毒</w:t>
      </w:r>
      <w:r>
        <w:rPr>
          <w:rFonts w:hint="default" w:ascii="Times New Roman" w:hAnsi="Times New Roman" w:cs="Times New Roman"/>
        </w:rPr>
        <w:t>的危险化学品的生产装置和储存场所是生产过程中最易发生事故的场所，应严格工艺纪律，加强工艺控制，防止</w:t>
      </w:r>
      <w:r>
        <w:rPr>
          <w:rFonts w:hint="default" w:ascii="Times New Roman" w:hAnsi="Times New Roman" w:cs="Times New Roman"/>
          <w:lang w:val="en-US" w:eastAsia="zh-CN"/>
        </w:rPr>
        <w:t>中毒和窒息</w:t>
      </w:r>
      <w:r>
        <w:rPr>
          <w:rFonts w:hint="default" w:ascii="Times New Roman" w:hAnsi="Times New Roman" w:cs="Times New Roman"/>
        </w:rPr>
        <w:t>事故的发生。强化危险源辨识，充分利用危险源辨识信息，实施危险控制管理。</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12、应定期检查应急救援物资如</w:t>
      </w:r>
      <w:r>
        <w:rPr>
          <w:rFonts w:hint="default" w:ascii="Times New Roman" w:hAnsi="Times New Roman" w:cs="Times New Roman"/>
          <w:lang w:val="en-US" w:eastAsia="zh-CN"/>
        </w:rPr>
        <w:t>重型防护服</w:t>
      </w:r>
      <w:r>
        <w:rPr>
          <w:rFonts w:hint="default" w:ascii="Times New Roman" w:hAnsi="Times New Roman" w:cs="Times New Roman"/>
        </w:rPr>
        <w:t>、便携式可燃气体探头等有效性。</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13、随时了解事故应急救缓的先进技术和装备、工具的发展情况，采用先进的技术方法和装备提高事故应急救缓的能力。应把新技术和新方法运用到应急救援中去，并与不断变化的具体情况保持一致，事故应急救援预案应及时更新改进。</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14、注重设备抢修、检修安全管理，重点突出工序危险控制，应以检修工序为重点，实施危险辨识、危险预知活动、标准化作业等现代化安全管理内容。</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15、企业要全面贯彻落实《企业安全生产标准化基本规范》、《危险化学品从业单位安全标准化通用规范》，应将危险化学品生产企业安全标准化工作贯彻全部生产过程中。</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16、事故应急救援</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1）事故应急救援预案应与不断变化的具体情况保持一致，事故应急救援预案应及时更新改进。</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2）对危险源和厂内新增装置、人员变化进行定期检查，对预案及时更新。</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3）根据实践和演练结果进行补充和改进，使预案更加合理、更加完善、更具有操作性。</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4）企业的应急预案要与周边相关企业（单位）和当地政府应急预案相互衔接，形成应急联动机制。</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5）针对应急演练活动可能发生的意外情况制定演练保障方案或应急预案，并进行演练，做到相关人员应知应会，熟练掌握。演练保障方案应包括应急演练可能发生的意外情况、应急处置措施及责任部门，应急演练意外情况中止条件与程序等。</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6）根据演练评估报告中对应急预案的改进建议，由应急预案编制部门按程序对预案进行修订完善。应急演练活动结束后，将应急演练工作方案以及应急演练评估、总结报告等文字资料，以及记录演练实施过程的相关图片、视频、音频等资料归档保存。</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8）应急演练结束后，组织应急演练的部门（单位）应根据应急演练评估报告、总结报告提出的问题和建议对应急管理工作（包括应急演练工作）进行持续改进。组织应急演练的部门（单位）应督促相关部门和人员，制定整改计划，明确整改目标，制定整改措施，落实整改资金，并应跟踪督查整改情况。</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9）对主管部门要求备案的应急演练资料，演练组织部门（单位）应将相关资料报主管部门备案。</w:t>
      </w:r>
    </w:p>
    <w:p>
      <w:pPr>
        <w:spacing w:line="520" w:lineRule="exact"/>
        <w:ind w:firstLine="560" w:firstLineChars="200"/>
        <w:rPr>
          <w:rFonts w:hint="default" w:ascii="Times New Roman" w:hAnsi="Times New Roman" w:cs="Times New Roman"/>
        </w:rPr>
      </w:pPr>
      <w:r>
        <w:rPr>
          <w:rFonts w:hint="default" w:ascii="Times New Roman" w:hAnsi="Times New Roman" w:cs="Times New Roman"/>
        </w:rPr>
        <w:t>10）每三年应对应急预案进行修订并聘请相关专家进行评审，将相关资料报主管部门备案。</w:t>
      </w:r>
    </w:p>
    <w:p>
      <w:pPr>
        <w:pStyle w:val="3"/>
        <w:rPr>
          <w:rFonts w:hint="default" w:ascii="Times New Roman" w:hAnsi="Times New Roman" w:cs="Times New Roman"/>
        </w:rPr>
      </w:pPr>
      <w:r>
        <w:rPr>
          <w:rFonts w:hint="default" w:ascii="Times New Roman" w:hAnsi="Times New Roman" w:cs="Times New Roman"/>
        </w:rPr>
        <w:br w:type="page"/>
      </w:r>
      <w:bookmarkStart w:id="96" w:name="_Toc28287"/>
      <w:r>
        <w:rPr>
          <w:rFonts w:hint="default" w:ascii="Times New Roman" w:hAnsi="Times New Roman" w:cs="Times New Roman"/>
        </w:rPr>
        <w:t>11评价结果</w:t>
      </w:r>
      <w:bookmarkEnd w:id="96"/>
    </w:p>
    <w:p>
      <w:pPr>
        <w:ind w:firstLine="560" w:firstLineChars="200"/>
        <w:rPr>
          <w:rFonts w:hint="default" w:ascii="Times New Roman" w:hAnsi="Times New Roman" w:cs="Times New Roman"/>
        </w:rPr>
      </w:pPr>
      <w:r>
        <w:rPr>
          <w:rFonts w:hint="default" w:ascii="Times New Roman" w:hAnsi="Times New Roman" w:cs="Times New Roman"/>
        </w:rPr>
        <w:t>以《中华人民共和国安全生产法》、《江西省安全生产条例》及《危险化学品生产企业安全评价导则（试行）》等法律法规为依据，通过对</w:t>
      </w:r>
      <w:r>
        <w:rPr>
          <w:rFonts w:hint="default" w:ascii="Times New Roman" w:hAnsi="Times New Roman" w:cs="Times New Roman"/>
          <w:lang w:eastAsia="zh-CN"/>
        </w:rPr>
        <w:t>上饶市广氟医药化工有限公司</w:t>
      </w:r>
      <w:r>
        <w:rPr>
          <w:rFonts w:hint="default" w:ascii="Times New Roman" w:hAnsi="Times New Roman" w:cs="Times New Roman"/>
        </w:rPr>
        <w:t>生产安全现状的分析与研究，确定了评价单元；根据生产过程危险、有害因素的分析，选择了定性、定量多种评价方法对所划分的单元进行了分析、评价，对</w:t>
      </w:r>
      <w:r>
        <w:rPr>
          <w:rFonts w:hint="default" w:ascii="Times New Roman" w:hAnsi="Times New Roman" w:cs="Times New Roman"/>
          <w:lang w:eastAsia="zh-CN"/>
        </w:rPr>
        <w:t>上饶市广氟医药化工有限公司</w:t>
      </w:r>
      <w:r>
        <w:rPr>
          <w:rFonts w:hint="default" w:ascii="Times New Roman" w:hAnsi="Times New Roman" w:cs="Times New Roman"/>
        </w:rPr>
        <w:t>是否存在重大危险源进行了辨识，较系统、全面地剖析了该公司安全生产的现状。</w:t>
      </w:r>
    </w:p>
    <w:p>
      <w:pPr>
        <w:numPr>
          <w:ilvl w:val="0"/>
          <w:numId w:val="23"/>
        </w:numPr>
        <w:ind w:firstLine="560" w:firstLineChars="200"/>
        <w:rPr>
          <w:rFonts w:hint="default" w:ascii="Times New Roman" w:hAnsi="Times New Roman" w:cs="Times New Roman"/>
        </w:rPr>
      </w:pPr>
      <w:r>
        <w:rPr>
          <w:rFonts w:hint="default" w:ascii="Times New Roman" w:hAnsi="Times New Roman" w:cs="Times New Roman"/>
        </w:rPr>
        <w:t>危险、有害因素辨识</w:t>
      </w:r>
    </w:p>
    <w:p>
      <w:pPr>
        <w:ind w:firstLine="560" w:firstLineChars="200"/>
        <w:rPr>
          <w:rFonts w:hint="default" w:ascii="Times New Roman" w:hAnsi="Times New Roman" w:cs="Times New Roman"/>
        </w:rPr>
      </w:pPr>
      <w:r>
        <w:rPr>
          <w:rFonts w:hint="default" w:ascii="Times New Roman" w:hAnsi="Times New Roman" w:cs="Times New Roman"/>
        </w:rPr>
        <w:t>该公司涉及的危险有害因素有：中毒和窒息、</w:t>
      </w:r>
      <w:r>
        <w:rPr>
          <w:rFonts w:hint="default" w:ascii="Times New Roman" w:hAnsi="Times New Roman" w:cs="Times New Roman"/>
          <w:lang w:val="en-US" w:eastAsia="zh-CN"/>
        </w:rPr>
        <w:t>灼烫</w:t>
      </w:r>
      <w:r>
        <w:rPr>
          <w:rFonts w:hint="default" w:ascii="Times New Roman" w:hAnsi="Times New Roman" w:cs="Times New Roman"/>
        </w:rPr>
        <w:t>等，此外还存在触电、火灾、</w:t>
      </w:r>
      <w:r>
        <w:rPr>
          <w:rFonts w:hint="default" w:ascii="Times New Roman" w:hAnsi="Times New Roman" w:cs="Times New Roman"/>
          <w:lang w:val="en-US" w:eastAsia="zh-CN"/>
        </w:rPr>
        <w:t>容器</w:t>
      </w:r>
      <w:r>
        <w:rPr>
          <w:rFonts w:hint="default" w:ascii="Times New Roman" w:hAnsi="Times New Roman" w:cs="Times New Roman"/>
        </w:rPr>
        <w:t>爆炸、物体打击、机械伤害、起重伤害、高处坠落、车辆伤害、淹溺及粉尘、噪声、高温热辐射、低温等危险、有害因素。主要危险有害因素为：中毒和窒息、灼烫。</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）依据《危险化学品目录》，列入《危险化学品目录》的危险化学品有：</w:t>
      </w:r>
      <w:r>
        <w:rPr>
          <w:rFonts w:hint="default" w:ascii="Times New Roman" w:hAnsi="Times New Roman" w:cs="Times New Roman"/>
          <w:color w:val="000000" w:themeColor="text1"/>
        </w:rPr>
        <w:t>有水氢氟酸、有水氟硅酸、硼酸、氟硅酸钠、氟化钡、氟化钠、氟化氢钠、氟化锌、氟化锂、有水氟硼酸</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氢氧化钾</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氢氧化钠</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氟硅酸钾</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氟硅酸钡</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氟硅酸镁</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氟硅酸锌</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氟化钾</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氟化氢钾</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lang w:val="en-US" w:eastAsia="zh-CN"/>
        </w:rPr>
        <w:t>柴油（燃料）</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依据《国家安全监管总局关于公布首批重点监管的危险化工工艺目录的通知（安监总管三〔2009〕116号）《国家安全监管总局关于公布第二批重点监管危险化工工艺目录和调整首重点监管危险化工工艺中部分典型工艺的通知》安监总管三[2013]3号），</w:t>
      </w:r>
      <w:r>
        <w:rPr>
          <w:rFonts w:hint="default" w:ascii="Times New Roman" w:hAnsi="Times New Roman" w:cs="Times New Roman"/>
          <w:lang w:val="zh-CN"/>
        </w:rPr>
        <w:t>该</w:t>
      </w:r>
      <w:r>
        <w:rPr>
          <w:rFonts w:hint="eastAsia" w:cs="Times New Roman"/>
          <w:lang w:val="en-US" w:eastAsia="zh-CN"/>
        </w:rPr>
        <w:t>企业</w:t>
      </w:r>
      <w:r>
        <w:rPr>
          <w:rFonts w:hint="default" w:ascii="Times New Roman" w:hAnsi="Times New Roman" w:cs="Times New Roman"/>
        </w:rPr>
        <w:t>不涉及重点监管的危险化工工艺。</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依据《国家安全监管总局关于公布首批重点监管的危险化学品名录的通知》（安监总管三〔2011〕95号）、《国家安全监管总局关于公布第二批重点监管的危险化学品名录的通知》（安监总管三〔2013〕12号），通过对该</w:t>
      </w:r>
      <w:r>
        <w:rPr>
          <w:rFonts w:hint="eastAsia" w:cs="Times New Roman"/>
          <w:lang w:val="en-US" w:eastAsia="zh-CN"/>
        </w:rPr>
        <w:t>企业</w:t>
      </w:r>
      <w:r>
        <w:rPr>
          <w:rFonts w:hint="default" w:ascii="Times New Roman" w:hAnsi="Times New Roman" w:cs="Times New Roman"/>
        </w:rPr>
        <w:t>现场检查及企业相关资料分析，该</w:t>
      </w:r>
      <w:r>
        <w:rPr>
          <w:rFonts w:hint="eastAsia" w:cs="Times New Roman"/>
          <w:lang w:val="en-US" w:eastAsia="zh-CN"/>
        </w:rPr>
        <w:t>企业</w:t>
      </w:r>
      <w:r>
        <w:rPr>
          <w:rFonts w:hint="default" w:ascii="Times New Roman" w:hAnsi="Times New Roman" w:cs="Times New Roman"/>
        </w:rPr>
        <w:t>涉及重点监管的危险化学品</w:t>
      </w:r>
      <w:r>
        <w:rPr>
          <w:rFonts w:hint="default" w:ascii="Times New Roman" w:hAnsi="Times New Roman" w:cs="Times New Roman"/>
          <w:lang w:val="en-US" w:eastAsia="zh-CN"/>
        </w:rPr>
        <w:t>氢氟酸</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）根据</w:t>
      </w:r>
      <w:r>
        <w:rPr>
          <w:rFonts w:hint="default" w:ascii="Times New Roman" w:hAnsi="Times New Roman" w:cs="Times New Roman"/>
          <w:lang w:val="en-US" w:eastAsia="zh-CN"/>
        </w:rPr>
        <w:t>剧毒</w:t>
      </w:r>
      <w:r>
        <w:rPr>
          <w:rFonts w:hint="default" w:ascii="Times New Roman" w:hAnsi="Times New Roman" w:cs="Times New Roman"/>
        </w:rPr>
        <w:t>化学品目录，该</w:t>
      </w:r>
      <w:r>
        <w:rPr>
          <w:rFonts w:hint="eastAsia" w:cs="Times New Roman"/>
          <w:lang w:val="en-US" w:eastAsia="zh-CN"/>
        </w:rPr>
        <w:t>企业</w:t>
      </w:r>
      <w:r>
        <w:rPr>
          <w:rFonts w:hint="default" w:ascii="Times New Roman" w:hAnsi="Times New Roman" w:cs="Times New Roman"/>
          <w:lang w:val="en-US" w:eastAsia="zh-CN"/>
        </w:rPr>
        <w:t>不涉及</w:t>
      </w:r>
      <w:r>
        <w:rPr>
          <w:rFonts w:hint="default" w:ascii="Times New Roman" w:hAnsi="Times New Roman" w:cs="Times New Roman"/>
        </w:rPr>
        <w:t>剧毒化学品。</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）根据监控化学品目录，</w:t>
      </w:r>
      <w:r>
        <w:rPr>
          <w:rFonts w:hint="default" w:ascii="Times New Roman" w:hAnsi="Times New Roman" w:cs="Times New Roman"/>
          <w:lang w:val="zh-CN"/>
        </w:rPr>
        <w:t>该</w:t>
      </w:r>
      <w:r>
        <w:rPr>
          <w:rFonts w:hint="eastAsia" w:cs="Times New Roman"/>
          <w:lang w:val="en-US" w:eastAsia="zh-CN"/>
        </w:rPr>
        <w:t>企业</w:t>
      </w:r>
      <w:r>
        <w:rPr>
          <w:rFonts w:hint="default" w:ascii="Times New Roman" w:hAnsi="Times New Roman" w:cs="Times New Roman"/>
          <w:lang w:val="zh-CN"/>
        </w:rPr>
        <w:t>不涉及监控化学品</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）根据易制毒管理条例，该</w:t>
      </w:r>
      <w:r>
        <w:rPr>
          <w:rFonts w:hint="eastAsia" w:cs="Times New Roman"/>
          <w:lang w:val="en-US" w:eastAsia="zh-CN"/>
        </w:rPr>
        <w:t>企业</w:t>
      </w:r>
      <w:r>
        <w:rPr>
          <w:rFonts w:hint="default" w:ascii="Times New Roman" w:hAnsi="Times New Roman" w:cs="Times New Roman"/>
        </w:rPr>
        <w:t>不涉及易制毒化学品。</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）根据《高毒物品目录》（2003版），该</w:t>
      </w:r>
      <w:r>
        <w:rPr>
          <w:rFonts w:hint="eastAsia" w:cs="Times New Roman"/>
          <w:lang w:val="en-US" w:eastAsia="zh-CN"/>
        </w:rPr>
        <w:t>企业</w:t>
      </w:r>
      <w:r>
        <w:rPr>
          <w:rFonts w:hint="default" w:ascii="Times New Roman" w:hAnsi="Times New Roman" w:cs="Times New Roman"/>
        </w:rPr>
        <w:t>涉及的</w:t>
      </w:r>
      <w:r>
        <w:rPr>
          <w:rFonts w:hint="default" w:ascii="Times New Roman" w:hAnsi="Times New Roman" w:cs="Times New Roman"/>
          <w:lang w:val="en-US" w:eastAsia="zh-CN"/>
        </w:rPr>
        <w:t>有水氢氟酸、有水氟硅酸、氟硅酸钠、氟化钡、氟化钠、氟化氢钠、氟化锌、氟化锂、有水氟硼酸、氟硅酸钾、氟硅酸钡、氟硅酸镁、氟硅酸锌、氟化钾、氟化氢钾</w:t>
      </w:r>
      <w:r>
        <w:rPr>
          <w:rFonts w:hint="default" w:ascii="Times New Roman" w:hAnsi="Times New Roman" w:cs="Times New Roman"/>
        </w:rPr>
        <w:t>属于高毒危险化学品。</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9</w:t>
      </w:r>
      <w:r>
        <w:rPr>
          <w:rFonts w:hint="default" w:ascii="Times New Roman" w:hAnsi="Times New Roman" w:cs="Times New Roman"/>
        </w:rPr>
        <w:t>）根据《易制爆危险化学品名录》，该</w:t>
      </w:r>
      <w:r>
        <w:rPr>
          <w:rFonts w:hint="eastAsia" w:cs="Times New Roman"/>
          <w:lang w:val="en-US" w:eastAsia="zh-CN"/>
        </w:rPr>
        <w:t>企业</w:t>
      </w:r>
      <w:r>
        <w:rPr>
          <w:rFonts w:hint="default" w:ascii="Times New Roman" w:hAnsi="Times New Roman" w:cs="Times New Roman"/>
          <w:lang w:val="en-US" w:eastAsia="zh-CN"/>
        </w:rPr>
        <w:t>不涉及</w:t>
      </w:r>
      <w:r>
        <w:rPr>
          <w:rFonts w:hint="default" w:ascii="Times New Roman" w:hAnsi="Times New Roman" w:cs="Times New Roman"/>
        </w:rPr>
        <w:t>易制爆化学品。</w:t>
      </w:r>
    </w:p>
    <w:p>
      <w:pPr>
        <w:ind w:firstLine="560" w:firstLineChars="20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0</w:t>
      </w:r>
      <w:r>
        <w:rPr>
          <w:rFonts w:hint="default" w:ascii="Times New Roman" w:hAnsi="Times New Roman" w:cs="Times New Roman"/>
        </w:rPr>
        <w:t>）根据《特别管控危险化学品目录（第一版）》，该</w:t>
      </w:r>
      <w:r>
        <w:rPr>
          <w:rFonts w:hint="eastAsia" w:cs="Times New Roman"/>
          <w:lang w:val="en-US" w:eastAsia="zh-CN"/>
        </w:rPr>
        <w:t>企业</w:t>
      </w:r>
      <w:r>
        <w:rPr>
          <w:rFonts w:hint="default" w:ascii="Times New Roman" w:hAnsi="Times New Roman" w:cs="Times New Roman"/>
          <w:lang w:val="en-US" w:eastAsia="zh-CN"/>
        </w:rPr>
        <w:t>不涉及</w:t>
      </w:r>
      <w:r>
        <w:rPr>
          <w:rFonts w:hint="default" w:ascii="Times New Roman" w:hAnsi="Times New Roman" w:cs="Times New Roman"/>
        </w:rPr>
        <w:t>特别管控的危险化学品。</w:t>
      </w:r>
    </w:p>
    <w:p>
      <w:pPr>
        <w:ind w:firstLine="560" w:firstLineChars="200"/>
        <w:rPr>
          <w:rFonts w:hint="default" w:ascii="Times New Roman" w:hAnsi="Times New Roman" w:cs="Times New Roman"/>
          <w:lang w:val="zh-CN"/>
        </w:rPr>
      </w:pPr>
      <w:r>
        <w:rPr>
          <w:rFonts w:hint="default" w:ascii="Times New Roman" w:hAnsi="Times New Roman" w:cs="Times New Roman"/>
        </w:rPr>
        <w:t>1</w:t>
      </w:r>
      <w:r>
        <w:rPr>
          <w:rFonts w:hint="default" w:ascii="Times New Roman" w:hAnsi="Times New Roman" w:cs="Times New Roman"/>
          <w:lang w:val="en-US" w:eastAsia="zh-CN"/>
        </w:rPr>
        <w:t>1</w:t>
      </w:r>
      <w:r>
        <w:rPr>
          <w:rFonts w:hint="default" w:ascii="Times New Roman" w:hAnsi="Times New Roman" w:cs="Times New Roman"/>
        </w:rPr>
        <w:t>）依据《危险化学品重大危险源辨识》(GB18218-2018)进行重大危险源辨识，该</w:t>
      </w:r>
      <w:r>
        <w:rPr>
          <w:rFonts w:hint="eastAsia" w:cs="Times New Roman"/>
          <w:lang w:val="en-US" w:eastAsia="zh-CN"/>
        </w:rPr>
        <w:t>企业</w:t>
      </w:r>
      <w:r>
        <w:rPr>
          <w:rFonts w:hint="default" w:ascii="Times New Roman" w:hAnsi="Times New Roman" w:cs="Times New Roman"/>
        </w:rPr>
        <w:t>各生产、储存单元的危险化学品不构成重大危险源</w:t>
      </w:r>
      <w:r>
        <w:rPr>
          <w:rFonts w:hint="default" w:ascii="Times New Roman" w:hAnsi="Times New Roman" w:cs="Times New Roman"/>
          <w:lang w:val="zh-CN"/>
        </w:rPr>
        <w:t>。</w:t>
      </w:r>
    </w:p>
    <w:p>
      <w:pPr>
        <w:pStyle w:val="10"/>
        <w:spacing w:line="360" w:lineRule="auto"/>
        <w:ind w:firstLine="638" w:firstLineChars="227"/>
        <w:rPr>
          <w:rFonts w:hint="default" w:ascii="Times New Roman" w:hAnsi="Times New Roman" w:eastAsia="宋体" w:cs="Times New Roman"/>
          <w:b/>
          <w:bCs/>
        </w:rPr>
      </w:pPr>
      <w:r>
        <w:rPr>
          <w:rFonts w:hint="default" w:ascii="Times New Roman" w:hAnsi="Times New Roman" w:eastAsia="宋体" w:cs="Times New Roman"/>
          <w:b/>
          <w:bCs/>
        </w:rPr>
        <w:t>2、安全生产条件</w:t>
      </w:r>
    </w:p>
    <w:p>
      <w:pPr>
        <w:pStyle w:val="10"/>
        <w:spacing w:line="360" w:lineRule="auto"/>
        <w:ind w:firstLine="635" w:firstLineChars="227"/>
        <w:rPr>
          <w:rFonts w:hint="default" w:ascii="Times New Roman" w:hAnsi="Times New Roman" w:eastAsia="宋体" w:cs="Times New Roman"/>
        </w:rPr>
      </w:pPr>
      <w:r>
        <w:rPr>
          <w:rFonts w:hint="default" w:ascii="Times New Roman" w:hAnsi="Times New Roman" w:eastAsia="宋体" w:cs="Times New Roman"/>
        </w:rPr>
        <w:t>1）厂址及与厂外民居、公共设施、企业的间距</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（1）</w:t>
      </w:r>
      <w:r>
        <w:rPr>
          <w:rFonts w:hint="default" w:ascii="Times New Roman" w:hAnsi="Times New Roman" w:cs="Times New Roman"/>
          <w:sz w:val="28"/>
          <w:szCs w:val="28"/>
          <w:lang w:eastAsia="zh-CN"/>
        </w:rPr>
        <w:t>上饶市广氟医药化工有限公司</w:t>
      </w:r>
      <w:r>
        <w:rPr>
          <w:rFonts w:hint="default" w:ascii="Times New Roman" w:hAnsi="Times New Roman" w:cs="Times New Roman"/>
          <w:spacing w:val="-4"/>
          <w:sz w:val="28"/>
          <w:szCs w:val="28"/>
        </w:rPr>
        <w:t>在役</w:t>
      </w:r>
      <w:r>
        <w:rPr>
          <w:rFonts w:hint="default" w:ascii="Times New Roman" w:hAnsi="Times New Roman" w:cs="Times New Roman"/>
          <w:sz w:val="28"/>
          <w:szCs w:val="28"/>
        </w:rPr>
        <w:t>生产装置位于</w:t>
      </w:r>
      <w:r>
        <w:rPr>
          <w:rFonts w:hint="default" w:ascii="Times New Roman" w:hAnsi="Times New Roman" w:cs="Times New Roman"/>
        </w:rPr>
        <w:t>上饶高新技术产业园区</w:t>
      </w:r>
      <w:r>
        <w:rPr>
          <w:rFonts w:hint="default" w:ascii="Times New Roman" w:hAnsi="Times New Roman" w:cs="Times New Roman"/>
          <w:sz w:val="28"/>
          <w:szCs w:val="28"/>
        </w:rPr>
        <w:t>，选址符合国家相关标准的要求。</w:t>
      </w:r>
    </w:p>
    <w:p>
      <w:pPr>
        <w:pStyle w:val="10"/>
        <w:spacing w:line="360" w:lineRule="auto"/>
        <w:ind w:firstLine="537" w:firstLineChars="192"/>
        <w:rPr>
          <w:rFonts w:hint="default" w:ascii="Times New Roman" w:hAnsi="Times New Roman" w:eastAsia="宋体" w:cs="Times New Roman"/>
        </w:rPr>
      </w:pPr>
      <w:r>
        <w:rPr>
          <w:rFonts w:hint="default" w:ascii="Times New Roman" w:hAnsi="Times New Roman" w:eastAsia="宋体" w:cs="Times New Roman"/>
        </w:rPr>
        <w:t>（2）企业对外部影响主要是</w:t>
      </w:r>
      <w:r>
        <w:rPr>
          <w:rFonts w:hint="default" w:ascii="Times New Roman" w:hAnsi="Times New Roman" w:eastAsia="宋体" w:cs="Times New Roman"/>
          <w:lang w:val="en-US" w:eastAsia="zh-CN"/>
        </w:rPr>
        <w:t>有水氢氟酸</w:t>
      </w:r>
      <w:r>
        <w:rPr>
          <w:rFonts w:hint="default" w:ascii="Times New Roman" w:hAnsi="Times New Roman" w:eastAsia="宋体" w:cs="Times New Roman"/>
        </w:rPr>
        <w:t>泄漏引起的</w:t>
      </w:r>
      <w:r>
        <w:rPr>
          <w:rFonts w:hint="default" w:ascii="Times New Roman" w:hAnsi="Times New Roman" w:eastAsia="宋体" w:cs="Times New Roman"/>
          <w:lang w:val="en-US" w:eastAsia="zh-CN"/>
        </w:rPr>
        <w:t>灼烫、中毒和窒息</w:t>
      </w:r>
      <w:r>
        <w:rPr>
          <w:rFonts w:hint="default" w:ascii="Times New Roman" w:hAnsi="Times New Roman" w:eastAsia="宋体" w:cs="Times New Roman"/>
        </w:rPr>
        <w:t>事故造成的影响。</w:t>
      </w:r>
    </w:p>
    <w:p>
      <w:pPr>
        <w:pStyle w:val="10"/>
        <w:spacing w:line="360" w:lineRule="auto"/>
        <w:ind w:firstLine="537" w:firstLineChars="192"/>
        <w:rPr>
          <w:rFonts w:hint="default" w:ascii="Times New Roman" w:hAnsi="Times New Roman" w:eastAsia="宋体" w:cs="Times New Roman"/>
        </w:rPr>
      </w:pPr>
      <w:r>
        <w:rPr>
          <w:rFonts w:hint="default" w:ascii="Times New Roman" w:hAnsi="Times New Roman" w:eastAsia="宋体" w:cs="Times New Roman"/>
        </w:rPr>
        <w:t>（3）该公司地界周边500m范围内无居民及其他敏感设施，符合</w:t>
      </w:r>
      <w:r>
        <w:rPr>
          <w:rFonts w:hint="default" w:ascii="Times New Roman" w:hAnsi="Times New Roman" w:eastAsia="宋体" w:cs="Times New Roman"/>
          <w:lang w:val="en-US" w:eastAsia="zh-CN"/>
        </w:rPr>
        <w:t>规范</w:t>
      </w:r>
      <w:r>
        <w:rPr>
          <w:rFonts w:hint="default" w:ascii="Times New Roman" w:hAnsi="Times New Roman" w:eastAsia="宋体" w:cs="Times New Roman"/>
        </w:rPr>
        <w:t>的要求。周围环境无其他不利影响，交通运输便利，当地自然条件温和，地址条件好。</w:t>
      </w:r>
    </w:p>
    <w:p>
      <w:pPr>
        <w:pStyle w:val="10"/>
        <w:spacing w:line="360" w:lineRule="auto"/>
        <w:ind w:firstLine="635" w:firstLineChars="227"/>
        <w:rPr>
          <w:rFonts w:hint="default" w:ascii="Times New Roman" w:hAnsi="Times New Roman" w:eastAsia="宋体" w:cs="Times New Roman"/>
        </w:rPr>
      </w:pPr>
      <w:r>
        <w:rPr>
          <w:rFonts w:hint="default" w:ascii="Times New Roman" w:hAnsi="Times New Roman" w:eastAsia="宋体" w:cs="Times New Roman"/>
        </w:rPr>
        <w:t>2）总平面布置</w:t>
      </w:r>
    </w:p>
    <w:p>
      <w:pPr>
        <w:pStyle w:val="10"/>
        <w:spacing w:line="360" w:lineRule="auto"/>
        <w:ind w:firstLine="537" w:firstLineChars="192"/>
        <w:rPr>
          <w:rFonts w:hint="default" w:ascii="Times New Roman" w:hAnsi="Times New Roman" w:eastAsia="宋体" w:cs="Times New Roman"/>
        </w:rPr>
      </w:pPr>
      <w:r>
        <w:rPr>
          <w:rFonts w:hint="default" w:ascii="Times New Roman" w:hAnsi="Times New Roman" w:eastAsia="宋体" w:cs="Times New Roman"/>
        </w:rPr>
        <w:t>总平面布置，出入口及厂内道路符合规范规定，满足防火距离要求。</w:t>
      </w:r>
    </w:p>
    <w:p>
      <w:pPr>
        <w:pStyle w:val="10"/>
        <w:spacing w:line="360" w:lineRule="auto"/>
        <w:ind w:firstLine="635" w:firstLineChars="227"/>
        <w:rPr>
          <w:rFonts w:hint="default" w:ascii="Times New Roman" w:hAnsi="Times New Roman" w:eastAsia="宋体" w:cs="Times New Roman"/>
        </w:rPr>
      </w:pPr>
      <w:r>
        <w:rPr>
          <w:rFonts w:hint="default" w:ascii="Times New Roman" w:hAnsi="Times New Roman" w:eastAsia="宋体" w:cs="Times New Roman"/>
        </w:rPr>
        <w:t>3）建（构）筑物</w:t>
      </w:r>
    </w:p>
    <w:p>
      <w:pPr>
        <w:pStyle w:val="10"/>
        <w:spacing w:line="360" w:lineRule="auto"/>
        <w:ind w:firstLine="544" w:firstLineChars="200"/>
        <w:rPr>
          <w:rFonts w:hint="default" w:ascii="Times New Roman" w:hAnsi="Times New Roman" w:eastAsia="宋体" w:cs="Times New Roman"/>
          <w:spacing w:val="-4"/>
        </w:rPr>
      </w:pPr>
      <w:r>
        <w:rPr>
          <w:rFonts w:hint="default" w:ascii="Times New Roman" w:hAnsi="Times New Roman" w:eastAsia="宋体" w:cs="Times New Roman"/>
          <w:spacing w:val="-4"/>
        </w:rPr>
        <w:t>厂内主要建（构）筑物耐火等级不低于二级，充分利用自然采光、通风，设置相应的疏散通道，腐蚀环境采取了相应的防腐措施，符合相关规范、标准的要求。</w:t>
      </w:r>
    </w:p>
    <w:p>
      <w:pPr>
        <w:pStyle w:val="10"/>
        <w:spacing w:line="360" w:lineRule="auto"/>
        <w:ind w:firstLine="635" w:firstLineChars="227"/>
        <w:rPr>
          <w:rFonts w:hint="default" w:ascii="Times New Roman" w:hAnsi="Times New Roman" w:eastAsia="宋体" w:cs="Times New Roman"/>
        </w:rPr>
      </w:pPr>
      <w:r>
        <w:rPr>
          <w:rFonts w:hint="default" w:ascii="Times New Roman" w:hAnsi="Times New Roman" w:eastAsia="宋体" w:cs="Times New Roman"/>
        </w:rPr>
        <w:t>4）工艺及设备、设施</w:t>
      </w:r>
    </w:p>
    <w:p>
      <w:pPr>
        <w:pStyle w:val="10"/>
        <w:spacing w:line="360" w:lineRule="auto"/>
        <w:ind w:firstLine="560" w:firstLineChars="200"/>
        <w:rPr>
          <w:rFonts w:hint="default" w:ascii="Times New Roman" w:hAnsi="Times New Roman" w:eastAsia="宋体" w:cs="Times New Roman"/>
        </w:rPr>
      </w:pPr>
      <w:r>
        <w:rPr>
          <w:rFonts w:hint="default" w:ascii="Times New Roman" w:hAnsi="Times New Roman" w:eastAsia="宋体" w:cs="Times New Roman"/>
        </w:rPr>
        <w:t>无国家明令淘汰的工艺，整改后无国家明令淘汰的设备，设备、设施与工艺条件、内部介质相适应，安全设备、设施齐全，安全附件及检测仪器、仪表定期进行了校验，按规定设置了防雷、防静电接地并定期进行检测。工艺管理及设备设施符合规范的要求。</w:t>
      </w:r>
    </w:p>
    <w:p>
      <w:pPr>
        <w:pStyle w:val="10"/>
        <w:spacing w:line="360" w:lineRule="auto"/>
        <w:ind w:firstLine="635" w:firstLineChars="227"/>
        <w:rPr>
          <w:rFonts w:hint="default" w:ascii="Times New Roman" w:hAnsi="Times New Roman" w:eastAsia="宋体" w:cs="Times New Roman"/>
        </w:rPr>
      </w:pPr>
      <w:r>
        <w:rPr>
          <w:rFonts w:hint="default" w:ascii="Times New Roman" w:hAnsi="Times New Roman" w:eastAsia="宋体" w:cs="Times New Roman"/>
        </w:rPr>
        <w:t>5）作业场所</w:t>
      </w:r>
    </w:p>
    <w:p>
      <w:pPr>
        <w:pStyle w:val="10"/>
        <w:spacing w:line="360" w:lineRule="auto"/>
        <w:ind w:firstLine="560" w:firstLineChars="200"/>
        <w:rPr>
          <w:rFonts w:hint="default" w:ascii="Times New Roman" w:hAnsi="Times New Roman" w:eastAsia="宋体" w:cs="Times New Roman"/>
          <w:spacing w:val="-4"/>
        </w:rPr>
      </w:pPr>
      <w:r>
        <w:rPr>
          <w:rFonts w:hint="default" w:ascii="Times New Roman" w:hAnsi="Times New Roman" w:eastAsia="宋体" w:cs="Times New Roman"/>
        </w:rPr>
        <w:t>作业场所按规定设置了相应的消防系统，配备了相应</w:t>
      </w:r>
      <w:r>
        <w:rPr>
          <w:rFonts w:hint="default" w:ascii="Times New Roman" w:hAnsi="Times New Roman" w:eastAsia="宋体" w:cs="Times New Roman"/>
          <w:spacing w:val="-4"/>
        </w:rPr>
        <w:t>的灭火器材，作业场所符合相关规范的要求。</w:t>
      </w:r>
    </w:p>
    <w:p>
      <w:pPr>
        <w:pStyle w:val="10"/>
        <w:spacing w:line="360" w:lineRule="auto"/>
        <w:ind w:firstLine="560" w:firstLineChars="200"/>
        <w:rPr>
          <w:rFonts w:hint="default" w:ascii="Times New Roman" w:hAnsi="Times New Roman" w:eastAsia="宋体" w:cs="Times New Roman"/>
        </w:rPr>
      </w:pPr>
      <w:r>
        <w:rPr>
          <w:rFonts w:hint="default" w:ascii="Times New Roman" w:hAnsi="Times New Roman" w:eastAsia="宋体" w:cs="Times New Roman"/>
        </w:rPr>
        <w:t>对在评价过程中，发现的不合格项，提出了相应整改建议和措施，企业针对隐患进行了相应的整改。</w:t>
      </w:r>
    </w:p>
    <w:p>
      <w:pPr>
        <w:pStyle w:val="10"/>
        <w:spacing w:line="360" w:lineRule="auto"/>
        <w:ind w:firstLine="635" w:firstLineChars="227"/>
        <w:rPr>
          <w:rFonts w:hint="default" w:ascii="Times New Roman" w:hAnsi="Times New Roman" w:eastAsia="宋体" w:cs="Times New Roman"/>
        </w:rPr>
      </w:pPr>
      <w:r>
        <w:rPr>
          <w:rFonts w:hint="default" w:ascii="Times New Roman" w:hAnsi="Times New Roman" w:eastAsia="宋体" w:cs="Times New Roman"/>
        </w:rPr>
        <w:t>6）公用配套工程</w:t>
      </w:r>
    </w:p>
    <w:p>
      <w:pPr>
        <w:pStyle w:val="10"/>
        <w:spacing w:line="360" w:lineRule="auto"/>
        <w:ind w:firstLine="560" w:firstLineChars="200"/>
        <w:rPr>
          <w:rFonts w:hint="default" w:ascii="Times New Roman" w:hAnsi="Times New Roman" w:eastAsia="宋体" w:cs="Times New Roman"/>
        </w:rPr>
      </w:pPr>
      <w:r>
        <w:rPr>
          <w:rFonts w:hint="default" w:ascii="Times New Roman" w:hAnsi="Times New Roman" w:eastAsia="宋体" w:cs="Times New Roman"/>
          <w:lang w:eastAsia="zh-CN"/>
        </w:rPr>
        <w:t>上饶市广氟医药化工有限公司</w:t>
      </w:r>
      <w:r>
        <w:rPr>
          <w:rFonts w:hint="default" w:ascii="Times New Roman" w:hAnsi="Times New Roman" w:eastAsia="宋体" w:cs="Times New Roman"/>
        </w:rPr>
        <w:t>在役装置与生产相配套的供电、供水、压缩空气等均能满足生产要求。</w:t>
      </w:r>
    </w:p>
    <w:p>
      <w:pPr>
        <w:pStyle w:val="10"/>
        <w:spacing w:line="360" w:lineRule="auto"/>
        <w:ind w:firstLine="635" w:firstLineChars="227"/>
        <w:rPr>
          <w:rFonts w:hint="default" w:ascii="Times New Roman" w:hAnsi="Times New Roman" w:eastAsia="宋体" w:cs="Times New Roman"/>
        </w:rPr>
      </w:pPr>
      <w:r>
        <w:rPr>
          <w:rFonts w:hint="default" w:ascii="Times New Roman" w:hAnsi="Times New Roman" w:eastAsia="宋体" w:cs="Times New Roman"/>
        </w:rPr>
        <w:t>7）安全管理</w:t>
      </w:r>
    </w:p>
    <w:p>
      <w:pPr>
        <w:pStyle w:val="10"/>
        <w:spacing w:line="360" w:lineRule="auto"/>
        <w:ind w:firstLine="537" w:firstLineChars="192"/>
        <w:rPr>
          <w:rFonts w:hint="default" w:ascii="Times New Roman" w:hAnsi="Times New Roman" w:eastAsia="宋体" w:cs="Times New Roman"/>
        </w:rPr>
      </w:pPr>
      <w:r>
        <w:rPr>
          <w:rFonts w:hint="default" w:ascii="Times New Roman" w:hAnsi="Times New Roman" w:eastAsia="宋体" w:cs="Times New Roman"/>
        </w:rPr>
        <w:t>（1）安全管理机构健全，人员配备符合要求，安全责任到人，逐级负责；应急预案分工明确，具有一定的可操作性；各岗位安全生产责任制、操作规程、作业规程、安全活动、安全教育培训、考核奖惩、安全检查、安全设备设施维护保养、隐患整改、防火防爆管理、事故管理、危险化学品管理、罐区管理、劳动防护用品管理等规章制度健全。其安全生产管理制度符合《安全生产法》、《危险化学品管理条例》、《消防法》等有关法律、法规的规定。</w:t>
      </w:r>
    </w:p>
    <w:p>
      <w:pPr>
        <w:pStyle w:val="10"/>
        <w:spacing w:line="360" w:lineRule="auto"/>
        <w:ind w:firstLine="537" w:firstLineChars="192"/>
        <w:rPr>
          <w:rFonts w:hint="default" w:ascii="Times New Roman" w:hAnsi="Times New Roman" w:eastAsia="宋体" w:cs="Times New Roman"/>
        </w:rPr>
      </w:pPr>
      <w:r>
        <w:rPr>
          <w:rFonts w:hint="default" w:ascii="Times New Roman" w:hAnsi="Times New Roman" w:eastAsia="宋体" w:cs="Times New Roman"/>
        </w:rPr>
        <w:t>（2）安全生产管理制度执行到位，现场检查无违章现象。</w:t>
      </w:r>
    </w:p>
    <w:p>
      <w:pPr>
        <w:pStyle w:val="10"/>
        <w:spacing w:line="360" w:lineRule="auto"/>
        <w:ind w:firstLine="638" w:firstLineChars="227"/>
        <w:rPr>
          <w:rFonts w:hint="default" w:ascii="Times New Roman" w:hAnsi="Times New Roman" w:eastAsia="宋体" w:cs="Times New Roman"/>
          <w:b/>
          <w:bCs/>
        </w:rPr>
      </w:pPr>
      <w:r>
        <w:rPr>
          <w:rFonts w:hint="default" w:ascii="Times New Roman" w:hAnsi="Times New Roman" w:eastAsia="宋体" w:cs="Times New Roman"/>
          <w:b/>
          <w:bCs/>
        </w:rPr>
        <w:t>3、重大危险源评估结果</w:t>
      </w:r>
    </w:p>
    <w:p>
      <w:pPr>
        <w:pStyle w:val="10"/>
        <w:spacing w:line="360" w:lineRule="auto"/>
        <w:ind w:firstLine="537" w:firstLineChars="192"/>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lang w:eastAsia="zh-CN"/>
        </w:rPr>
        <w:t>依据《危险化学品重大危险源辨识》(GB18218-2018)进行重大危险源辨识，该</w:t>
      </w:r>
      <w:r>
        <w:rPr>
          <w:rFonts w:hint="default" w:ascii="Times New Roman" w:hAnsi="Times New Roman" w:eastAsia="宋体" w:cs="Times New Roman"/>
          <w:lang w:val="en-US" w:eastAsia="zh-CN"/>
        </w:rPr>
        <w:t>公司</w:t>
      </w:r>
      <w:r>
        <w:rPr>
          <w:rFonts w:hint="default" w:ascii="Times New Roman" w:hAnsi="Times New Roman" w:eastAsia="宋体" w:cs="Times New Roman"/>
          <w:lang w:eastAsia="zh-CN"/>
        </w:rPr>
        <w:t>各生产、储存单元的危险化学品不构成重大危险源。</w:t>
      </w:r>
      <w:r>
        <w:rPr>
          <w:rFonts w:hint="default" w:ascii="Times New Roman" w:hAnsi="Times New Roman" w:eastAsia="宋体" w:cs="Times New Roman"/>
        </w:rPr>
        <w:t>。</w:t>
      </w:r>
    </w:p>
    <w:p>
      <w:pPr>
        <w:pStyle w:val="10"/>
        <w:spacing w:line="360" w:lineRule="auto"/>
        <w:ind w:firstLine="537" w:firstLineChars="192"/>
        <w:rPr>
          <w:rFonts w:hint="default" w:ascii="Times New Roman" w:hAnsi="Times New Roman" w:eastAsia="宋体" w:cs="Times New Roman"/>
        </w:rPr>
      </w:pPr>
      <w:r>
        <w:rPr>
          <w:rFonts w:hint="default" w:ascii="Times New Roman" w:hAnsi="Times New Roman" w:eastAsia="宋体" w:cs="Times New Roman"/>
        </w:rPr>
        <w:t>（2）根据定量计算，</w:t>
      </w:r>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lang w:val="en-US" w:eastAsia="zh-CN"/>
        </w:rPr>
        <w:t>空气储罐</w:t>
      </w:r>
      <w:r>
        <w:rPr>
          <w:rFonts w:hint="default" w:ascii="Times New Roman" w:hAnsi="Times New Roman" w:cs="Times New Roman"/>
        </w:rPr>
        <w:t>物理爆炸将会产生多米诺效应，多米诺区域以</w:t>
      </w:r>
      <w:r>
        <w:rPr>
          <w:rFonts w:hint="default" w:ascii="Times New Roman" w:hAnsi="Times New Roman" w:cs="Times New Roman"/>
          <w:lang w:val="en-US" w:eastAsia="zh-CN"/>
        </w:rPr>
        <w:t>空气储罐</w:t>
      </w:r>
      <w:r>
        <w:rPr>
          <w:rFonts w:hint="default" w:ascii="Times New Roman" w:hAnsi="Times New Roman" w:cs="Times New Roman"/>
        </w:rPr>
        <w:t>为中心半径</w:t>
      </w:r>
      <w:r>
        <w:rPr>
          <w:rFonts w:hint="default" w:ascii="Times New Roman" w:hAnsi="Times New Roman" w:cs="Times New Roman"/>
          <w:lang w:val="en-US" w:eastAsia="zh-CN"/>
        </w:rPr>
        <w:t>2</w:t>
      </w:r>
      <w:r>
        <w:rPr>
          <w:rFonts w:hint="default" w:ascii="Times New Roman" w:hAnsi="Times New Roman" w:cs="Times New Roman"/>
        </w:rPr>
        <w:t>m范围，未超出厂界，企业应加强对</w:t>
      </w:r>
      <w:r>
        <w:rPr>
          <w:rFonts w:hint="default" w:ascii="Times New Roman" w:hAnsi="Times New Roman" w:cs="Times New Roman"/>
          <w:lang w:val="en-US" w:eastAsia="zh-CN"/>
        </w:rPr>
        <w:t>空气储罐</w:t>
      </w:r>
      <w:r>
        <w:rPr>
          <w:rFonts w:hint="default" w:ascii="Times New Roman" w:hAnsi="Times New Roman" w:cs="Times New Roman"/>
        </w:rPr>
        <w:t>的管理。</w:t>
      </w:r>
    </w:p>
    <w:p>
      <w:pPr>
        <w:spacing w:line="360" w:lineRule="auto"/>
        <w:ind w:firstLine="560" w:firstLineChars="200"/>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rPr>
        <w:t>（3）</w:t>
      </w:r>
      <w:r>
        <w:rPr>
          <w:rFonts w:hint="default" w:ascii="Times New Roman" w:hAnsi="Times New Roman" w:cs="Times New Roman"/>
          <w:sz w:val="28"/>
          <w:szCs w:val="28"/>
          <w:lang w:eastAsia="zh-CN"/>
        </w:rPr>
        <w:t>该公司</w:t>
      </w:r>
      <w:r>
        <w:rPr>
          <w:rFonts w:hint="default" w:ascii="Times New Roman" w:hAnsi="Times New Roman" w:cs="Times New Roman"/>
          <w:sz w:val="28"/>
          <w:szCs w:val="28"/>
        </w:rPr>
        <w:t>风险级别为III级，属于</w:t>
      </w:r>
      <w:r>
        <w:rPr>
          <w:rFonts w:hint="default" w:ascii="Times New Roman" w:hAnsi="Times New Roman" w:cs="Times New Roman"/>
          <w:sz w:val="28"/>
          <w:szCs w:val="28"/>
          <w:lang w:val="en-US" w:eastAsia="zh-CN"/>
        </w:rPr>
        <w:t>一般</w:t>
      </w:r>
      <w:r>
        <w:rPr>
          <w:rFonts w:hint="default" w:ascii="Times New Roman" w:hAnsi="Times New Roman" w:cs="Times New Roman"/>
          <w:sz w:val="28"/>
          <w:szCs w:val="28"/>
        </w:rPr>
        <w:t>风险（</w:t>
      </w:r>
      <w:r>
        <w:rPr>
          <w:rFonts w:hint="default" w:ascii="Times New Roman" w:hAnsi="Times New Roman" w:cs="Times New Roman"/>
          <w:sz w:val="28"/>
          <w:szCs w:val="28"/>
          <w:lang w:val="en-US" w:eastAsia="zh-CN"/>
        </w:rPr>
        <w:t>黄</w:t>
      </w:r>
      <w:r>
        <w:rPr>
          <w:rFonts w:hint="default" w:ascii="Times New Roman" w:hAnsi="Times New Roman" w:cs="Times New Roman"/>
          <w:sz w:val="28"/>
          <w:szCs w:val="28"/>
        </w:rPr>
        <w:t>色风险），企业厂区在役装置需要控制并整改</w:t>
      </w:r>
      <w:r>
        <w:rPr>
          <w:rFonts w:hint="default" w:ascii="Times New Roman" w:hAnsi="Times New Roman" w:cs="Times New Roman"/>
          <w:sz w:val="28"/>
          <w:szCs w:val="28"/>
          <w:lang w:eastAsia="zh-CN"/>
        </w:rPr>
        <w:t>。</w:t>
      </w:r>
    </w:p>
    <w:p>
      <w:pPr>
        <w:ind w:firstLine="560" w:firstLineChars="200"/>
        <w:rPr>
          <w:rFonts w:hint="default" w:ascii="Times New Roman" w:hAnsi="Times New Roman" w:cs="Times New Roman"/>
        </w:rPr>
      </w:pPr>
      <w:r>
        <w:rPr>
          <w:rFonts w:hint="default" w:ascii="Times New Roman" w:hAnsi="Times New Roman" w:cs="Times New Roman"/>
          <w:sz w:val="28"/>
          <w:szCs w:val="28"/>
        </w:rPr>
        <w:t>（</w:t>
      </w:r>
      <w:r>
        <w:rPr>
          <w:rFonts w:hint="eastAsia" w:cs="Times New Roman"/>
          <w:sz w:val="28"/>
          <w:szCs w:val="28"/>
          <w:lang w:val="en-US" w:eastAsia="zh-CN"/>
        </w:rPr>
        <w:t>4</w:t>
      </w:r>
      <w:r>
        <w:rPr>
          <w:rFonts w:hint="default" w:ascii="Times New Roman" w:hAnsi="Times New Roman" w:cs="Times New Roman"/>
          <w:sz w:val="28"/>
          <w:szCs w:val="28"/>
        </w:rPr>
        <w:t>）</w:t>
      </w:r>
      <w:r>
        <w:rPr>
          <w:rFonts w:hint="default" w:ascii="Times New Roman" w:hAnsi="Times New Roman" w:cs="Times New Roman"/>
          <w:sz w:val="28"/>
          <w:szCs w:val="28"/>
          <w:lang w:eastAsia="zh-CN"/>
        </w:rPr>
        <w:t>上饶市广氟医药化工有限公司</w:t>
      </w:r>
      <w:r>
        <w:rPr>
          <w:rFonts w:hint="default" w:ascii="Times New Roman" w:hAnsi="Times New Roman" w:cs="Times New Roman"/>
          <w:sz w:val="28"/>
          <w:szCs w:val="28"/>
        </w:rPr>
        <w:t>配备了兼职救援队伍，制定了重大危险源事故应急预案，配备了相应的应急救援器材。</w:t>
      </w:r>
    </w:p>
    <w:p>
      <w:pPr>
        <w:rPr>
          <w:rFonts w:hint="default" w:ascii="Times New Roman" w:hAnsi="Times New Roman" w:cs="Times New Roman"/>
          <w:b/>
          <w:bCs/>
        </w:rPr>
      </w:pPr>
      <w:r>
        <w:rPr>
          <w:rFonts w:hint="default" w:ascii="Times New Roman" w:hAnsi="Times New Roman" w:cs="Times New Roman"/>
          <w:b/>
          <w:bCs/>
        </w:rPr>
        <w:br w:type="page"/>
      </w:r>
    </w:p>
    <w:p>
      <w:pPr>
        <w:ind w:firstLine="562" w:firstLineChars="200"/>
        <w:rPr>
          <w:rFonts w:hint="default" w:ascii="Times New Roman" w:hAnsi="Times New Roman" w:cs="Times New Roman"/>
          <w:b/>
          <w:bCs/>
        </w:rPr>
      </w:pPr>
      <w:r>
        <w:rPr>
          <w:rFonts w:hint="default" w:ascii="Times New Roman" w:hAnsi="Times New Roman" w:cs="Times New Roman"/>
          <w:b/>
          <w:bCs/>
        </w:rPr>
        <w:t>3.评价结论</w:t>
      </w:r>
    </w:p>
    <w:p>
      <w:pPr>
        <w:ind w:firstLine="562" w:firstLineChars="200"/>
        <w:rPr>
          <w:rFonts w:hint="default" w:ascii="Times New Roman" w:hAnsi="Times New Roman" w:cs="Times New Roman"/>
          <w:b/>
          <w:bCs/>
        </w:rPr>
      </w:pPr>
      <w:r>
        <w:rPr>
          <w:rFonts w:hint="default" w:ascii="Times New Roman" w:hAnsi="Times New Roman" w:cs="Times New Roman"/>
          <w:b/>
          <w:bCs/>
        </w:rPr>
        <w:t>在充分考虑该公司潜在的火灾、爆炸等危险性，综合考虑其他危险、有害因素，对照国家有关法律、法规和标准、规范，</w:t>
      </w:r>
      <w:r>
        <w:rPr>
          <w:rFonts w:hint="default" w:ascii="Times New Roman" w:hAnsi="Times New Roman" w:cs="Times New Roman"/>
          <w:b/>
          <w:bCs/>
          <w:lang w:eastAsia="zh-CN"/>
        </w:rPr>
        <w:t>上饶市广氟医药化工有限公司</w:t>
      </w:r>
      <w:r>
        <w:rPr>
          <w:rFonts w:hint="default" w:ascii="Times New Roman" w:hAnsi="Times New Roman" w:cs="Times New Roman"/>
          <w:b/>
          <w:bCs/>
        </w:rPr>
        <w:t>针对存在的安全隐患项进行了整改。该公司在役生产装置现场情况与变更后的设计图纸一致，涉及重点监管的危险化学品</w:t>
      </w:r>
      <w:r>
        <w:rPr>
          <w:rFonts w:hint="default" w:ascii="Times New Roman" w:hAnsi="Times New Roman" w:cs="Times New Roman"/>
          <w:b/>
          <w:bCs/>
          <w:lang w:val="en-US" w:eastAsia="zh-CN"/>
        </w:rPr>
        <w:t>氢氟酸</w:t>
      </w:r>
      <w:r>
        <w:rPr>
          <w:rFonts w:hint="default" w:ascii="Times New Roman" w:hAnsi="Times New Roman" w:cs="Times New Roman"/>
          <w:b/>
          <w:bCs/>
        </w:rPr>
        <w:t>，未涉及重点监管工艺，不构成重大危险源，根据安全设施设计要求安装了</w:t>
      </w:r>
      <w:r>
        <w:rPr>
          <w:rFonts w:hint="default" w:ascii="Times New Roman" w:hAnsi="Times New Roman" w:cs="Times New Roman"/>
          <w:b/>
          <w:bCs/>
          <w:lang w:val="en-US" w:eastAsia="zh-CN"/>
        </w:rPr>
        <w:t>PLC</w:t>
      </w:r>
      <w:r>
        <w:rPr>
          <w:rFonts w:hint="default" w:ascii="Times New Roman" w:hAnsi="Times New Roman" w:cs="Times New Roman"/>
          <w:b/>
          <w:bCs/>
        </w:rPr>
        <w:t>控制系统。该公司有关从业人员资质符合《江西省危险化学品安全专项整治三年行动实施方案》的要求，</w:t>
      </w:r>
      <w:r>
        <w:rPr>
          <w:rFonts w:hint="default" w:ascii="Times New Roman" w:hAnsi="Times New Roman" w:cs="Times New Roman"/>
          <w:b/>
          <w:bCs/>
          <w:lang w:val="en-US" w:eastAsia="zh-CN"/>
        </w:rPr>
        <w:t>该公司根据《江西省化工企业自动化提升实施方案》</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《江西省应急厅办公室关于进一步推动危险化学品（化工）企业自动化改造提升工作的通知》赣应急办字[2023]77号的要求进行了全流程自动化控制诊断</w:t>
      </w:r>
      <w:r>
        <w:rPr>
          <w:rFonts w:hint="eastAsia" w:cs="Times New Roman"/>
          <w:b/>
          <w:bCs/>
          <w:lang w:val="en-US" w:eastAsia="zh-CN"/>
        </w:rPr>
        <w:t>，承诺于2023年12月底前完成自动化提升改造</w:t>
      </w:r>
      <w:r>
        <w:rPr>
          <w:rFonts w:hint="default" w:ascii="Times New Roman" w:hAnsi="Times New Roman" w:cs="Times New Roman"/>
          <w:b/>
          <w:bCs/>
          <w:lang w:val="en-US" w:eastAsia="zh-CN"/>
        </w:rPr>
        <w:t>，</w:t>
      </w:r>
      <w:r>
        <w:rPr>
          <w:rFonts w:hint="default" w:ascii="Times New Roman" w:hAnsi="Times New Roman" w:cs="Times New Roman"/>
          <w:b/>
          <w:bCs/>
        </w:rPr>
        <w:t>该公司针对现场提出的安全隐患项企业整改到位，该公司现役生产装置的安全风险属可接受范围，符合安全生产条件。</w:t>
      </w:r>
    </w:p>
    <w:p>
      <w:pPr>
        <w:rPr>
          <w:rFonts w:hint="default" w:ascii="Times New Roman" w:hAnsi="Times New Roman" w:cs="Times New Roman"/>
        </w:rPr>
      </w:pPr>
      <w:r>
        <w:rPr>
          <w:rFonts w:hint="default" w:ascii="Times New Roman" w:hAnsi="Times New Roman" w:cs="Times New Roman"/>
        </w:rPr>
        <w:br w:type="page"/>
      </w:r>
      <w:r>
        <w:rPr>
          <w:rFonts w:hint="default" w:ascii="Times New Roman" w:hAnsi="Times New Roman" w:cs="Times New Roman"/>
        </w:rPr>
        <w:t>现场照片：</w:t>
      </w:r>
    </w:p>
    <w:p>
      <w:pPr>
        <w:spacing w:line="240" w:lineRule="auto"/>
        <w:rPr>
          <w:rFonts w:hint="default" w:ascii="Times New Roman" w:hAnsi="Times New Roman" w:cs="Times New Roman"/>
        </w:rPr>
      </w:pPr>
      <w:r>
        <w:rPr>
          <w:rFonts w:hint="default" w:ascii="Times New Roman" w:hAnsi="Times New Roman" w:cs="Times New Roman"/>
        </w:rPr>
        <w:t xml:space="preserve"> </w:t>
      </w:r>
    </w:p>
    <w:p>
      <w:pPr>
        <w:spacing w:line="240" w:lineRule="auto"/>
        <w:rPr>
          <w:rFonts w:hint="eastAsia" w:ascii="Times New Roman" w:hAnsi="Times New Roman" w:eastAsia="宋体" w:cs="Times New Roman"/>
          <w:lang w:eastAsia="zh-CN"/>
        </w:rPr>
      </w:pPr>
      <w:r>
        <w:rPr>
          <w:rFonts w:hint="default" w:ascii="Times New Roman" w:hAnsi="Times New Roman" w:cs="Times New Roman"/>
          <w:lang w:eastAsia="zh-CN"/>
        </w:rPr>
        <w:drawing>
          <wp:inline distT="0" distB="0" distL="114300" distR="114300">
            <wp:extent cx="5752465" cy="4027170"/>
            <wp:effectExtent l="0" t="0" r="635" b="11430"/>
            <wp:docPr id="2" name="图片 2" descr="57ba195f47388261c43febcc1aa1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7ba195f47388261c43febcc1aa1b5f"/>
                    <pic:cNvPicPr>
                      <a:picLocks noChangeAspect="1"/>
                    </pic:cNvPicPr>
                  </pic:nvPicPr>
                  <pic:blipFill>
                    <a:blip r:embed="rId52"/>
                    <a:stretch>
                      <a:fillRect/>
                    </a:stretch>
                  </pic:blipFill>
                  <pic:spPr>
                    <a:xfrm>
                      <a:off x="0" y="0"/>
                      <a:ext cx="5752465" cy="4027170"/>
                    </a:xfrm>
                    <a:prstGeom prst="rect">
                      <a:avLst/>
                    </a:prstGeom>
                  </pic:spPr>
                </pic:pic>
              </a:graphicData>
            </a:graphic>
          </wp:inline>
        </w:drawing>
      </w:r>
    </w:p>
    <w:p>
      <w:pPr>
        <w:outlineLvl w:val="0"/>
        <w:rPr>
          <w:rFonts w:hint="default" w:ascii="Times New Roman" w:hAnsi="Times New Roman" w:cs="Times New Roman"/>
          <w:b/>
          <w:bCs/>
        </w:rPr>
      </w:pPr>
      <w:r>
        <w:rPr>
          <w:rFonts w:hint="default" w:ascii="Times New Roman" w:hAnsi="Times New Roman" w:cs="Times New Roman"/>
          <w:b/>
          <w:bCs/>
        </w:rPr>
        <w:br w:type="page"/>
      </w:r>
      <w:bookmarkStart w:id="97" w:name="_Toc13944"/>
      <w:r>
        <w:rPr>
          <w:rFonts w:hint="default" w:ascii="Times New Roman" w:hAnsi="Times New Roman" w:cs="Times New Roman"/>
          <w:b/>
          <w:bCs/>
        </w:rPr>
        <w:t>附件A 对报告提出问题交换意见的结果</w:t>
      </w:r>
      <w:bookmarkEnd w:id="88"/>
      <w:bookmarkEnd w:id="89"/>
      <w:bookmarkEnd w:id="97"/>
    </w:p>
    <w:p>
      <w:pPr>
        <w:spacing w:line="240" w:lineRule="auto"/>
        <w:jc w:val="center"/>
        <w:rPr>
          <w:rFonts w:hint="default" w:ascii="Times New Roman" w:hAnsi="Times New Roman" w:eastAsia="宋体" w:cs="Times New Roman"/>
          <w:lang w:eastAsia="zh-CN"/>
        </w:rPr>
      </w:pPr>
      <w:r>
        <w:rPr>
          <w:rFonts w:hint="default" w:ascii="Times New Roman" w:hAnsi="Times New Roman" w:cs="Times New Roman"/>
        </w:rPr>
        <w:drawing>
          <wp:inline distT="0" distB="0" distL="114300" distR="114300">
            <wp:extent cx="5754370" cy="7812405"/>
            <wp:effectExtent l="0" t="0" r="11430" b="10795"/>
            <wp:docPr id="5" name="图片 20" descr="我的文档36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descr="我的文档363_00"/>
                    <pic:cNvPicPr>
                      <a:picLocks noChangeAspect="1"/>
                    </pic:cNvPicPr>
                  </pic:nvPicPr>
                  <pic:blipFill>
                    <a:blip r:embed="rId53"/>
                    <a:stretch>
                      <a:fillRect/>
                    </a:stretch>
                  </pic:blipFill>
                  <pic:spPr>
                    <a:xfrm>
                      <a:off x="0" y="0"/>
                      <a:ext cx="5754370" cy="7812405"/>
                    </a:xfrm>
                    <a:prstGeom prst="rect">
                      <a:avLst/>
                    </a:prstGeom>
                    <a:noFill/>
                    <a:ln>
                      <a:noFill/>
                    </a:ln>
                  </pic:spPr>
                </pic:pic>
              </a:graphicData>
            </a:graphic>
          </wp:inline>
        </w:drawing>
      </w:r>
    </w:p>
    <w:p>
      <w:pPr>
        <w:spacing w:line="240" w:lineRule="auto"/>
        <w:outlineLvl w:val="0"/>
        <w:rPr>
          <w:rFonts w:hint="default" w:ascii="Times New Roman" w:hAnsi="Times New Roman" w:cs="Times New Roman"/>
          <w:b/>
          <w:bCs/>
        </w:rPr>
      </w:pPr>
      <w:r>
        <w:rPr>
          <w:rFonts w:hint="default" w:ascii="Times New Roman" w:hAnsi="Times New Roman" w:cs="Times New Roman"/>
        </w:rPr>
        <w:br w:type="page"/>
      </w:r>
      <w:bookmarkStart w:id="98" w:name="_Toc17527"/>
      <w:bookmarkStart w:id="99" w:name="_Toc13449"/>
      <w:bookmarkStart w:id="100" w:name="_Toc23792"/>
      <w:r>
        <w:rPr>
          <w:rFonts w:hint="default" w:ascii="Times New Roman" w:hAnsi="Times New Roman" w:cs="Times New Roman"/>
          <w:b/>
          <w:bCs/>
        </w:rPr>
        <w:t>附件B 危险、有害因素的辨识及分析过程</w:t>
      </w:r>
      <w:bookmarkEnd w:id="98"/>
      <w:bookmarkEnd w:id="99"/>
      <w:bookmarkEnd w:id="100"/>
    </w:p>
    <w:p>
      <w:pPr>
        <w:ind w:firstLine="560" w:firstLineChars="200"/>
        <w:rPr>
          <w:rFonts w:hint="default" w:ascii="Times New Roman" w:hAnsi="Times New Roman" w:cs="Times New Roman"/>
        </w:rPr>
      </w:pPr>
      <w:r>
        <w:rPr>
          <w:rFonts w:hint="default" w:ascii="Times New Roman" w:hAnsi="Times New Roman" w:cs="Times New Roman"/>
        </w:rPr>
        <w:t>危险因素是指能对人造成伤亡或对物造成突发性损坏的因素。有害因素是指能影响人的身体健康，导致疾病，或对物造成慢性损坏的因素。危险、有害因素分析是安全现状评价的重要环节，是安全现状评价的基础。</w:t>
      </w:r>
    </w:p>
    <w:p>
      <w:pPr>
        <w:pStyle w:val="4"/>
        <w:rPr>
          <w:rFonts w:hint="default" w:ascii="Times New Roman" w:hAnsi="Times New Roman" w:cs="Times New Roman"/>
        </w:rPr>
      </w:pPr>
      <w:bookmarkStart w:id="101" w:name="_Toc31692"/>
      <w:bookmarkStart w:id="102" w:name="_Toc20108"/>
      <w:bookmarkStart w:id="103" w:name="_Toc31486"/>
      <w:r>
        <w:rPr>
          <w:rFonts w:hint="default" w:ascii="Times New Roman" w:hAnsi="Times New Roman" w:cs="Times New Roman"/>
        </w:rPr>
        <w:t>B.1固有危险性分析</w:t>
      </w:r>
      <w:bookmarkEnd w:id="101"/>
      <w:bookmarkEnd w:id="102"/>
      <w:bookmarkEnd w:id="103"/>
    </w:p>
    <w:p>
      <w:pPr>
        <w:pStyle w:val="5"/>
        <w:ind w:left="560"/>
        <w:rPr>
          <w:rFonts w:hint="default" w:ascii="Times New Roman" w:hAnsi="Times New Roman" w:cs="Times New Roman"/>
        </w:rPr>
      </w:pPr>
      <w:r>
        <w:rPr>
          <w:rFonts w:hint="default" w:ascii="Times New Roman" w:hAnsi="Times New Roman" w:cs="Times New Roman"/>
        </w:rPr>
        <w:t>B.1.1危险化学品分析</w:t>
      </w:r>
    </w:p>
    <w:p>
      <w:pPr>
        <w:ind w:firstLine="560" w:firstLineChars="200"/>
        <w:rPr>
          <w:rFonts w:hint="default" w:ascii="Times New Roman" w:hAnsi="Times New Roman" w:cs="Times New Roman"/>
        </w:rPr>
      </w:pPr>
      <w:r>
        <w:rPr>
          <w:rFonts w:hint="default" w:ascii="Times New Roman" w:hAnsi="Times New Roman" w:cs="Times New Roman"/>
        </w:rPr>
        <w:t>依据《危险化学品目录》，结合该公司的工艺流程描述，最后查相应物质的理化性质及危险特性表，列入《危险化学品目录》的危险化学品有：有水氢氟酸、有水氟硅酸、硼酸、氟硅酸钠、氟化钡、氟化钠、氟化氢钠、氟化锌、氟化锂、有水氟硼酸、氢氧化钾、氢氧化钠、氟硅酸钾、氟硅酸钡、氟硅酸镁、氟硅酸锌、氟化钾、氟化氢钾。</w:t>
      </w:r>
    </w:p>
    <w:p>
      <w:pPr>
        <w:ind w:firstLine="560" w:firstLineChars="200"/>
        <w:rPr>
          <w:rFonts w:hint="default" w:ascii="Times New Roman" w:hAnsi="Times New Roman" w:cs="Times New Roman"/>
          <w:lang w:val="en-US" w:eastAsia="zh-CN"/>
        </w:rPr>
      </w:pPr>
      <w:r>
        <w:rPr>
          <w:rFonts w:hint="default" w:ascii="Times New Roman" w:hAnsi="Times New Roman" w:eastAsia="宋体" w:cs="Times New Roman"/>
          <w:lang w:val="en-US" w:eastAsia="zh-CN"/>
        </w:rPr>
        <w:t>1）根据《危险化学品目录》（2022调整版），该公司不涉及剧毒化学品。</w:t>
      </w:r>
    </w:p>
    <w:p>
      <w:pPr>
        <w:ind w:firstLine="560" w:firstLineChars="200"/>
        <w:rPr>
          <w:rFonts w:hint="default" w:ascii="Times New Roman" w:hAnsi="Times New Roman" w:cs="Times New Roman"/>
          <w:lang w:val="en-US" w:eastAsia="zh-CN"/>
        </w:rPr>
      </w:pPr>
      <w:r>
        <w:rPr>
          <w:rFonts w:hint="default" w:ascii="Times New Roman" w:hAnsi="Times New Roman" w:eastAsia="宋体" w:cs="Times New Roman"/>
          <w:lang w:val="en-US" w:eastAsia="zh-CN"/>
        </w:rPr>
        <w:t>2）根据《监控化学品目录》（工业和信息化部令第52号）及《列入第三类监控化学品的新增品种清单》，该公司不涉及监控化学品。</w:t>
      </w:r>
    </w:p>
    <w:p>
      <w:pPr>
        <w:ind w:firstLine="560" w:firstLineChars="200"/>
        <w:rPr>
          <w:rFonts w:hint="default" w:ascii="Times New Roman" w:hAnsi="Times New Roman" w:cs="Times New Roman"/>
          <w:lang w:val="en-US" w:eastAsia="zh-CN"/>
        </w:rPr>
      </w:pPr>
      <w:r>
        <w:rPr>
          <w:rFonts w:hint="default" w:ascii="Times New Roman" w:hAnsi="Times New Roman" w:eastAsia="宋体" w:cs="Times New Roman"/>
          <w:lang w:val="en-US" w:eastAsia="zh-CN"/>
        </w:rPr>
        <w:t>3）根据《易制毒化学品管理条例》（中华人民共和国国务院令第703号修订），该生</w:t>
      </w:r>
      <w:r>
        <w:rPr>
          <w:rFonts w:hint="eastAsia" w:cs="Times New Roman"/>
          <w:lang w:val="en-US" w:eastAsia="zh-CN"/>
        </w:rPr>
        <w:t>企业</w:t>
      </w:r>
      <w:r>
        <w:rPr>
          <w:rFonts w:hint="default" w:ascii="Times New Roman" w:hAnsi="Times New Roman" w:eastAsia="宋体" w:cs="Times New Roman"/>
          <w:lang w:val="en-US" w:eastAsia="zh-CN"/>
        </w:rPr>
        <w:t>不涉及易制毒化学品。</w:t>
      </w:r>
    </w:p>
    <w:p>
      <w:pPr>
        <w:ind w:firstLine="560" w:firstLineChars="200"/>
        <w:rPr>
          <w:rFonts w:hint="default" w:ascii="Times New Roman" w:hAnsi="Times New Roman" w:cs="Times New Roman"/>
          <w:lang w:val="en-US" w:eastAsia="zh-CN"/>
        </w:rPr>
      </w:pPr>
      <w:r>
        <w:rPr>
          <w:rFonts w:hint="default" w:ascii="Times New Roman" w:hAnsi="Times New Roman" w:eastAsia="宋体" w:cs="Times New Roman"/>
          <w:lang w:val="en-US" w:eastAsia="zh-CN"/>
        </w:rPr>
        <w:t>4）根据《高毒物品目录》（2003版），该公司涉及的有水氢氟酸、有水氟硅酸、氟硅酸钠、氟化钡、氟化钠、氟化氢钠、氟化锌、氟化锂、有水氟硼酸、氟硅酸钾、氟硅酸钡、氟硅酸镁、氟硅酸锌、氟化钾、氟化氢钾属于高毒危险化学品。</w:t>
      </w:r>
    </w:p>
    <w:p>
      <w:pPr>
        <w:ind w:firstLine="560" w:firstLineChars="200"/>
        <w:rPr>
          <w:rFonts w:hint="default" w:ascii="Times New Roman" w:hAnsi="Times New Roman" w:cs="Times New Roman"/>
          <w:lang w:val="en-US" w:eastAsia="zh-CN"/>
        </w:rPr>
      </w:pPr>
      <w:r>
        <w:rPr>
          <w:rFonts w:hint="default" w:ascii="Times New Roman" w:hAnsi="Times New Roman" w:eastAsia="宋体" w:cs="Times New Roman"/>
          <w:lang w:val="en-US" w:eastAsia="zh-CN"/>
        </w:rPr>
        <w:t>5）根据《易制爆危险化学品名录》（2017年），该公司不涉及易制爆化学品。</w:t>
      </w:r>
    </w:p>
    <w:p>
      <w:pPr>
        <w:ind w:firstLine="560" w:firstLineChars="200"/>
        <w:rPr>
          <w:rFonts w:hint="default" w:ascii="Times New Roman" w:hAnsi="Times New Roman" w:cs="Times New Roman"/>
          <w:lang w:val="en-US" w:eastAsia="zh-CN"/>
        </w:rPr>
      </w:pPr>
      <w:r>
        <w:rPr>
          <w:rFonts w:hint="default" w:ascii="Times New Roman" w:hAnsi="Times New Roman" w:eastAsia="宋体" w:cs="Times New Roman"/>
          <w:lang w:val="en-US" w:eastAsia="zh-CN"/>
        </w:rPr>
        <w:t>6）根据《特别管控危险化学品目录（第一版）》，该公司不涉及特别管控危险化学品。</w:t>
      </w:r>
    </w:p>
    <w:p>
      <w:pPr>
        <w:pStyle w:val="5"/>
        <w:ind w:left="560"/>
        <w:rPr>
          <w:rFonts w:hint="default" w:ascii="Times New Roman" w:hAnsi="Times New Roman" w:cs="Times New Roman"/>
        </w:rPr>
      </w:pPr>
      <w:r>
        <w:rPr>
          <w:rFonts w:hint="default" w:ascii="Times New Roman" w:hAnsi="Times New Roman" w:cs="Times New Roman"/>
        </w:rPr>
        <w:t>B.1.2危险工艺辨识</w:t>
      </w:r>
    </w:p>
    <w:p>
      <w:pPr>
        <w:ind w:firstLine="560" w:firstLineChars="200"/>
        <w:rPr>
          <w:rFonts w:hint="default" w:ascii="Times New Roman" w:hAnsi="Times New Roman" w:cs="Times New Roman"/>
        </w:rPr>
      </w:pPr>
      <w:r>
        <w:rPr>
          <w:rFonts w:hint="default" w:ascii="Times New Roman" w:hAnsi="Times New Roman" w:cs="Times New Roman"/>
        </w:rPr>
        <w:t>依据《关于公布首批重点监管的危险化工工艺目录的通知》（安监总管三[2009]116号）及《关于公布第二批重点监管危险化工工艺目录和调整首批重点监管危险化工工艺中部分典型工艺的通知》（安监总管三[2013]3号）中规定，该</w:t>
      </w:r>
      <w:r>
        <w:rPr>
          <w:rFonts w:hint="default" w:ascii="Times New Roman" w:hAnsi="Times New Roman" w:cs="Times New Roman"/>
          <w:lang w:val="en-US" w:eastAsia="zh-CN"/>
        </w:rPr>
        <w:t>公司</w:t>
      </w:r>
      <w:r>
        <w:rPr>
          <w:rFonts w:hint="default" w:ascii="Times New Roman" w:hAnsi="Times New Roman" w:cs="Times New Roman"/>
        </w:rPr>
        <w:t>不涉及重点监管的危险化工工艺。</w:t>
      </w:r>
    </w:p>
    <w:p>
      <w:pPr>
        <w:pStyle w:val="5"/>
        <w:ind w:left="560"/>
        <w:rPr>
          <w:rFonts w:hint="default" w:ascii="Times New Roman" w:hAnsi="Times New Roman" w:cs="Times New Roman"/>
        </w:rPr>
      </w:pPr>
      <w:r>
        <w:rPr>
          <w:rFonts w:hint="default" w:ascii="Times New Roman" w:hAnsi="Times New Roman" w:cs="Times New Roman"/>
        </w:rPr>
        <w:t>B.1.3重点监管的危险化学品辨识</w:t>
      </w:r>
    </w:p>
    <w:p>
      <w:pPr>
        <w:ind w:firstLine="560" w:firstLineChars="200"/>
        <w:rPr>
          <w:rFonts w:hint="default" w:ascii="Times New Roman" w:hAnsi="Times New Roman" w:cs="Times New Roman"/>
        </w:rPr>
      </w:pPr>
      <w:r>
        <w:rPr>
          <w:rFonts w:hint="default" w:ascii="Times New Roman" w:hAnsi="Times New Roman" w:cs="Times New Roman"/>
        </w:rPr>
        <w:t>根据国家安全监管总局《关于公布首批重点监管的危险化学品名录的通知》（安监总管三[2011]95号）及《关于公布第二批重点监管危险化学品名录的通知》(安监总管三[2013]12号)的规定，该</w:t>
      </w:r>
      <w:r>
        <w:rPr>
          <w:rFonts w:hint="default" w:ascii="Times New Roman" w:hAnsi="Times New Roman" w:cs="Times New Roman"/>
          <w:lang w:val="en-US" w:eastAsia="zh-CN"/>
        </w:rPr>
        <w:t>公司</w:t>
      </w:r>
      <w:r>
        <w:rPr>
          <w:rFonts w:hint="default" w:ascii="Times New Roman" w:hAnsi="Times New Roman" w:cs="Times New Roman"/>
        </w:rPr>
        <w:t>涉及重点监管的危险化学品</w:t>
      </w:r>
      <w:r>
        <w:rPr>
          <w:rFonts w:hint="default" w:ascii="Times New Roman" w:hAnsi="Times New Roman" w:cs="Times New Roman"/>
          <w:lang w:val="en-US" w:eastAsia="zh-CN"/>
        </w:rPr>
        <w:t>有水氢氟酸</w:t>
      </w:r>
      <w:r>
        <w:rPr>
          <w:rFonts w:hint="default" w:ascii="Times New Roman" w:hAnsi="Times New Roman" w:cs="Times New Roman"/>
        </w:rPr>
        <w:t>。企业根据《首批、第二批重点监管的危险化学品安全措施和应急处置原则》采取相应的对策措施，详见生产工艺、设备装置单元安全检查表。</w:t>
      </w:r>
    </w:p>
    <w:p>
      <w:pPr>
        <w:pStyle w:val="4"/>
        <w:rPr>
          <w:rFonts w:hint="default" w:ascii="Times New Roman" w:hAnsi="Times New Roman" w:cs="Times New Roman"/>
        </w:rPr>
      </w:pPr>
      <w:bookmarkStart w:id="104" w:name="_Toc9639"/>
      <w:bookmarkStart w:id="105" w:name="_Toc34"/>
      <w:bookmarkStart w:id="106" w:name="_Toc25786"/>
      <w:r>
        <w:rPr>
          <w:rFonts w:hint="default" w:ascii="Times New Roman" w:hAnsi="Times New Roman" w:cs="Times New Roman"/>
        </w:rPr>
        <w:t>B.2危险、有害因素分析</w:t>
      </w:r>
      <w:bookmarkEnd w:id="104"/>
      <w:bookmarkEnd w:id="105"/>
      <w:bookmarkEnd w:id="106"/>
    </w:p>
    <w:p>
      <w:pPr>
        <w:pStyle w:val="5"/>
        <w:ind w:left="560"/>
        <w:rPr>
          <w:rFonts w:hint="default" w:ascii="Times New Roman" w:hAnsi="Times New Roman" w:cs="Times New Roman"/>
        </w:rPr>
      </w:pPr>
      <w:r>
        <w:rPr>
          <w:rFonts w:hint="default" w:ascii="Times New Roman" w:hAnsi="Times New Roman" w:cs="Times New Roman"/>
        </w:rPr>
        <w:t>B.2.1生产系统主要危险因素及分布场所辨识与分析</w:t>
      </w:r>
    </w:p>
    <w:p>
      <w:pPr>
        <w:ind w:firstLine="560" w:firstLineChars="200"/>
        <w:rPr>
          <w:rFonts w:hint="default" w:ascii="Times New Roman" w:hAnsi="Times New Roman" w:cs="Times New Roman"/>
        </w:rPr>
      </w:pPr>
      <w:r>
        <w:rPr>
          <w:rFonts w:hint="default" w:ascii="Times New Roman" w:hAnsi="Times New Roman" w:cs="Times New Roman"/>
        </w:rPr>
        <w:t>根据物质的危险、有害因素和现场调查、了解的资料分析，按照《企业工伤事故分类》GB6441-1986的规定，</w:t>
      </w:r>
      <w:r>
        <w:rPr>
          <w:rFonts w:hint="default" w:ascii="Times New Roman" w:hAnsi="Times New Roman" w:cs="Times New Roman"/>
          <w:lang w:eastAsia="zh-CN"/>
        </w:rPr>
        <w:t>上饶市广氟医药化工有限公司</w:t>
      </w:r>
      <w:r>
        <w:rPr>
          <w:rFonts w:hint="default" w:ascii="Times New Roman" w:hAnsi="Times New Roman" w:cs="Times New Roman"/>
        </w:rPr>
        <w:t>生产过程中的主要危险因素有：中毒和窒息</w:t>
      </w:r>
      <w:r>
        <w:rPr>
          <w:rFonts w:hint="default" w:ascii="Times New Roman" w:hAnsi="Times New Roman" w:cs="Times New Roman"/>
          <w:lang w:eastAsia="zh-CN"/>
        </w:rPr>
        <w:t>、</w:t>
      </w:r>
      <w:r>
        <w:rPr>
          <w:rFonts w:hint="default" w:ascii="Times New Roman" w:hAnsi="Times New Roman" w:cs="Times New Roman"/>
          <w:lang w:val="en-US" w:eastAsia="zh-CN"/>
        </w:rPr>
        <w:t>灼烫</w:t>
      </w:r>
      <w:r>
        <w:rPr>
          <w:rFonts w:hint="default" w:ascii="Times New Roman" w:hAnsi="Times New Roman" w:cs="Times New Roman"/>
        </w:rPr>
        <w:t>等，此外还存在</w:t>
      </w:r>
      <w:r>
        <w:rPr>
          <w:rFonts w:hint="default" w:ascii="Times New Roman" w:hAnsi="Times New Roman" w:cs="Times New Roman"/>
          <w:lang w:val="en-US" w:eastAsia="zh-CN"/>
        </w:rPr>
        <w:t>火灾、爆炸、</w:t>
      </w:r>
      <w:r>
        <w:rPr>
          <w:rFonts w:hint="default" w:ascii="Times New Roman" w:hAnsi="Times New Roman" w:cs="Times New Roman"/>
        </w:rPr>
        <w:t>容器爆炸、触电、高处坠落、机械伤害、物体打击、起重伤害、车辆伤害、淹溺及粉尘、噪声、高温热辐射等危险、有害因素。</w:t>
      </w:r>
    </w:p>
    <w:p>
      <w:pPr>
        <w:pStyle w:val="2"/>
        <w:rPr>
          <w:rFonts w:hint="default" w:ascii="Times New Roman" w:hAnsi="Times New Roman" w:eastAsia="宋体" w:cs="Times New Roman"/>
          <w:lang w:val="en-US" w:eastAsia="zh-CN"/>
        </w:rPr>
      </w:pPr>
      <w:r>
        <w:rPr>
          <w:rFonts w:hint="default" w:ascii="Times New Roman" w:hAnsi="Times New Roman" w:cs="Times New Roman"/>
        </w:rPr>
        <w:t>B.2.1.1</w:t>
      </w:r>
      <w:r>
        <w:rPr>
          <w:rFonts w:hint="default" w:ascii="Times New Roman" w:hAnsi="Times New Roman" w:cs="Times New Roman"/>
          <w:lang w:val="en-US" w:eastAsia="zh-CN"/>
        </w:rPr>
        <w:t>中毒和窒息</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该项目中主要有毒物质为氢氟酸及挥发的氟化氢、各氟化物。</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该工程中的危险物料是引起窒息中毒危险的物质因素，也是本工程中较为重要的危险、有害因素之一，当从业人员高浓度接触毒性物料时可引起急性中毒或窒息危险。特别是在检修中从业人员进入受限空间，如未按安全检修规程对待检修的设备容器采取隔绝、清洗、置换和分析合格等措施，人员进入后将有可能发生中毒或窒息的危险。</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1、有毒物质的大量泄漏</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该项目在生产过程中氟硅酸、氟硅酸钠、氟硼酸、氟化钡、氟化钠、氟化氢、有水氢氟酸等氟化物为高毒物品。对眼睛、皮肤、黏膜都具有强烈的刺激作用。长期接触这些毒物会引起中毒。</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2、有毒物质的少量泄漏</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有毒物质的少量泄漏，可形成局部高浓度环境，使在此环境工作的人员发生中毒，如果接触的毒物浓度高，时间长，可能造成人员死亡。</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3、接触的途径</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该项目可能产生中毒和窒息危害的物质主要为氟硅酸、氟硅酸钠、氟硼酸、氟化钡、氟化钠、氟化氢、有水氢氟酸等氟化物，危害产生主要存在于生产工艺过程、储存场所、废物处理过程及其他方面。</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（1）生产工艺过程：</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1）项目生产原料中的氢氟酸为有毒液体，一旦发生泄漏可扩散迅速，形成较大范围的毒物区域，处于该场所的人员将吸入性中毒。</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2）有毒物料（如氟硅酸、氟硅酸钠、氟硼酸、氟化钡、氟化钠、有水氢氟酸等）在温度的作用下蒸发形成的酸雾或有毒蒸气可能逸散在作业场所，从业人员吸入有毒蒸气可引起中毒危险。</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3）有水氢氟酸制备过程，可能引起人员中毒事故。</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4）氟硅酸、氟化锌、氟硼酸、氟铝酸钾、氟铝酸钠等生产过程中，均需使用有水氢氟酸，且均需使用蒸汽加热，若循环冷却水供应不足，可能导致釜内温度升高，产生氟化氢气体，可能引起人员中毒事故。</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5）氟化氢钠遇水分解，放出剧毒的氟化氢气体。可能引起人员中毒事故。</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6）氟硅酸钠等受高热或接触酸或酸雾放出剧毒的烟雾。当氟硅酸未能完全反应，则可能产生剧毒烟雾，可能引起人员中毒事故。</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7）该项目可能存在氟硅酸、氟硅酸钠、氟硼酸、氟化钡、氟化钠、有水氟化氢等的场所发生泄漏或发生火灾事故，人员接触上述物质，或未按照符合安全要求的操作规程操作，或是无泄漏后的紧急处理措施，未配备满足要求的防护器材等诸多原因。均可能导致人员中毒和窒息。</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（2）储存场所：该项目氟硅酸、有水氢氟酸等储存在201原料罐区一，氟硅酸钠、氟硼酸、氟化钠、氟化钡等储存在204成品仓库一，若氟硅酸、有水氢氟酸储罐、氟硼酸桶等发生泄漏，可能导致人员中毒和窒息。</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（3）废物处理过程：该项目有水氢氟酸、氟硅酸等部分未反应，进入厂区污水处理池，若污水管、污水处理池泄漏，可能导致人员中毒和窒息。</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（4）其他方面：</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①机泵检修拆开时残液喷出，造成人员中毒。</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②机泵运行过程中机械件损坏造成泵体损坏，发生泄漏，引起人员中毒。</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③进入设备内作业时由于设备内未清洗置换干净，造成人员中毒、窒息。或虽进行了清洗、置换，但可能因通风不良，清洗、置换不彻底等原因造成设备内氧含量降低，出现窒息危险。</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④进入受限空间作业，进入坑、池、罐、釜、沟以及下水道、隧道、管道等场所，可能存在缺氧、富氧、易燃易爆、有毒有害、高温、负压等危害因素，若没有进行危害识别，并制定相应的施工方案、作业程序、安全防范和应急措施，有可能发生中毒和窒息事故，甚至由于施救不当，扩大事故后果。</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4、发生事故的可能性</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人员在使用、储运、装卸过程中发生氟硅酸、有水氢氟酸、氟硅酸钠、氟硼酸、氟化钠、氟化钡等发生泄漏，可能会挥发氟化氢等有毒气体，人体直接接触有毒气体发生中毒。</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在生产过程中，系统有故障等原因造成系统运转不良，导致泄漏，造成人员吸入而发生中毒。</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人员进入密闭的釜等容器中，未进行置换、通风，未分析氧含量，可能发生人员窒息事故。</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在生产、储存过程中因个人防护用品配备或使用不当，人员长期低浓度反复接触造成健康损害或引起职业病。</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长期在有毒物质环境下工作，造成人员慢性中毒或健康损害。</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职业中毒和窒息发生的原因较为复杂，多数情况下不能用单一原因来解释。常见中毒原因主要有以下几方面：</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1）设备方面：无密闭通风排毒设备；密闭通风排毒设备效果不好；设备检修或抢修不及时；因设备故障、事故引起的跑、冒、滴、漏。</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2）个体方面：无个人防护用品；不使用或不当使用个人防护用品；缺乏安全知识；过度疲劳或其它不良身体状态；有从事有害作业的禁忌证。</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3）安全管理方面：无安全操作规程；违反安全操作制度或执行不当；未设置安全警告标志或保障装置；缺乏必要的安全监护。</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4）化学品管理方面：化学品无毒性鉴定证明；化合物成分不明；化学品来源不明；化学品储存或放置不当；化学品转移或运输无标志或标志不清。</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5）施救不当：安全培训工作不到位，从业人员缺乏应急常识和自救互救能力。发生事故后，未采取安全措施，继续违章盲目施救，导致事故扩大。</w:t>
      </w:r>
    </w:p>
    <w:p>
      <w:pPr>
        <w:pStyle w:val="2"/>
        <w:rPr>
          <w:rFonts w:hint="default" w:ascii="Times New Roman" w:hAnsi="Times New Roman" w:eastAsia="宋体" w:cs="Times New Roman"/>
          <w:lang w:eastAsia="zh-CN"/>
        </w:rPr>
      </w:pPr>
      <w:r>
        <w:rPr>
          <w:rFonts w:hint="default" w:ascii="Times New Roman" w:hAnsi="Times New Roman" w:cs="Times New Roman"/>
        </w:rPr>
        <w:t>B.2.1.2</w:t>
      </w:r>
      <w:r>
        <w:rPr>
          <w:rFonts w:hint="default" w:ascii="Times New Roman" w:hAnsi="Times New Roman" w:cs="Times New Roman"/>
          <w:lang w:val="en-US" w:eastAsia="zh-CN"/>
        </w:rPr>
        <w:t>火灾</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1、</w:t>
      </w:r>
      <w:r>
        <w:rPr>
          <w:rFonts w:hint="default" w:ascii="Times New Roman" w:hAnsi="Times New Roman" w:cs="Times New Roman"/>
          <w:color w:val="000000" w:themeColor="text1"/>
        </w:rPr>
        <w:t>有水氢氟酸、有水氟硅酸、有水氟硼酸</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硼酸</w:t>
      </w:r>
      <w:r>
        <w:rPr>
          <w:rFonts w:hint="default" w:ascii="Times New Roman" w:hAnsi="Times New Roman" w:eastAsia="宋体" w:cs="Times New Roman"/>
          <w:kern w:val="0"/>
          <w:lang w:val="en-GB"/>
        </w:rPr>
        <w:t>等酸性腐蚀品会腐蚀金属件及容器</w:t>
      </w:r>
      <w:r>
        <w:rPr>
          <w:rFonts w:hint="eastAsia" w:cs="Times New Roman"/>
          <w:kern w:val="0"/>
          <w:lang w:val="en-US" w:eastAsia="zh-CN"/>
        </w:rPr>
        <w:t>可能</w:t>
      </w:r>
      <w:r>
        <w:rPr>
          <w:rFonts w:hint="default" w:ascii="Times New Roman" w:hAnsi="Times New Roman" w:eastAsia="宋体" w:cs="Times New Roman"/>
          <w:kern w:val="0"/>
          <w:lang w:val="en-GB"/>
        </w:rPr>
        <w:t>产生氢气，在动火检修时处理不当有可能引发火灾事故。</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2、因雷击造成设备损坏而引发火灾事故。</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3、在设备检修过程中可能存在乙炔、氧气设备和容器发生泄漏，或钢瓶放置过近，或乙炔钢瓶未装阻火器，或钢瓶充装过程中超压、超重、混装，或遇撞击震动引起火灾事故；</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4、电气火灾</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该</w:t>
      </w:r>
      <w:r>
        <w:rPr>
          <w:rFonts w:hint="default" w:ascii="Times New Roman" w:hAnsi="Times New Roman" w:eastAsia="宋体" w:cs="Times New Roman"/>
          <w:kern w:val="0"/>
          <w:lang w:val="en-US" w:eastAsia="zh-CN"/>
        </w:rPr>
        <w:t>公司</w:t>
      </w:r>
      <w:r>
        <w:rPr>
          <w:rFonts w:hint="default" w:ascii="Times New Roman" w:hAnsi="Times New Roman" w:eastAsia="宋体" w:cs="Times New Roman"/>
          <w:kern w:val="0"/>
          <w:lang w:val="en-GB"/>
        </w:rPr>
        <w:t>涉及设置配电间、配电柜，现场配电箱等。</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1）配电、用电的电气设备如配电装置、照明装置等，在严重过热和故障情况下，可能引起火灾。</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2）大量的电力电缆分布在电缆沟、电缆桥架、夹层，分别连接着各个电气设备。而电缆表面绝缘材料为可燃物质，电缆自身产生的热以及附近发生着火引起电缆的绝缘物和护套着火后具有沿电缆继续延烧的特点。如果不采取可靠的阻燃防火措施，就会扩大火灾范围及火灾损失。现场电气设备、电缆等发生着火，可能引燃周围可燃物料引发更大的事故。</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3）配电</w:t>
      </w:r>
      <w:r>
        <w:rPr>
          <w:rFonts w:hint="default" w:ascii="Times New Roman" w:hAnsi="Times New Roman" w:eastAsia="宋体" w:cs="Times New Roman"/>
          <w:kern w:val="0"/>
          <w:lang w:val="en-US" w:eastAsia="zh-CN"/>
        </w:rPr>
        <w:t>间</w:t>
      </w:r>
      <w:r>
        <w:rPr>
          <w:rFonts w:hint="default" w:ascii="Times New Roman" w:hAnsi="Times New Roman" w:eastAsia="宋体" w:cs="Times New Roman"/>
          <w:kern w:val="0"/>
          <w:lang w:val="en-GB"/>
        </w:rPr>
        <w:t>因可燃气体、液体窜入或渗入引发火灾。</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4）电缆质量不好，电缆隔热、散热不良，过载等引起电缆发热；电缆绝缘老化，接触不良；电缆沟被车辆压坏，造成瓷套管破裂损坏，潮湿（或积水）引起短路；电缆接头不好，接头材料选择不当，接头氧化等，都容易引发电气火灾。</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5、点火源</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1）雷电能。如果防雷设施不齐全或防雷接地措施不符合要求，在雷电时可能引发火灾事故。</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2）使用的电气设备、设施引起的火灾。包括配电房、电缆、电线、用电设备等，这些可能因负荷过载、绝缘老化短路、违章操作，雷击、异物侵入、电动机电刷与转子之间的缝隙进异物导致摩擦等引起火灾。</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3）杜绝火灾危险生产、储存场所的点火来源是防止事故发生的一项非常重要的安全措施。</w:t>
      </w:r>
    </w:p>
    <w:p>
      <w:pPr>
        <w:pStyle w:val="2"/>
        <w:rPr>
          <w:rFonts w:hint="default" w:ascii="Times New Roman" w:hAnsi="Times New Roman" w:cs="Times New Roman"/>
        </w:rPr>
      </w:pPr>
      <w:r>
        <w:rPr>
          <w:rFonts w:hint="default" w:ascii="Times New Roman" w:hAnsi="Times New Roman" w:cs="Times New Roman"/>
        </w:rPr>
        <w:t>B.2.1.3灼烫</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1）高温物体灼烫</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高温物体如蒸汽等，温度高，人体直接接触到此类物体时，易造成人体烫伤。</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该项目中存在高温介质的设备（</w:t>
      </w:r>
      <w:r>
        <w:rPr>
          <w:rFonts w:hint="eastAsia" w:ascii="Times New Roman" w:hAnsi="Times New Roman" w:cs="Times New Roman"/>
          <w:kern w:val="0"/>
          <w:lang w:val="en-US" w:eastAsia="zh-CN"/>
        </w:rPr>
        <w:t>烘干机</w:t>
      </w:r>
      <w:r>
        <w:rPr>
          <w:rFonts w:hint="default" w:ascii="Times New Roman" w:hAnsi="Times New Roman" w:eastAsia="宋体" w:cs="Times New Roman"/>
          <w:kern w:val="0"/>
          <w:lang w:val="en-GB"/>
        </w:rPr>
        <w:t>等）如表面隔热层隔热效果不良或无警示标志，造成人体直接接触到高温物体的表面，或内部高温介质泄漏接触到人体，可能造成灼伤事故。</w:t>
      </w:r>
    </w:p>
    <w:p>
      <w:pPr>
        <w:ind w:firstLine="560" w:firstLineChars="200"/>
        <w:jc w:val="left"/>
        <w:rPr>
          <w:rFonts w:hint="default" w:ascii="Times New Roman" w:hAnsi="Times New Roman" w:eastAsia="宋体" w:cs="Times New Roman"/>
          <w:kern w:val="0"/>
          <w:lang w:val="en-GB"/>
        </w:rPr>
      </w:pPr>
      <w:bookmarkStart w:id="107" w:name="_Toc238875752"/>
      <w:bookmarkStart w:id="108" w:name="_Toc237873197"/>
      <w:bookmarkStart w:id="109" w:name="_Toc231608333"/>
      <w:bookmarkStart w:id="110" w:name="_Toc233793147"/>
      <w:bookmarkStart w:id="111" w:name="_Toc231986621"/>
      <w:bookmarkStart w:id="112" w:name="_Toc240195065"/>
      <w:bookmarkStart w:id="113" w:name="_Toc226003611"/>
      <w:r>
        <w:rPr>
          <w:rFonts w:hint="default" w:ascii="Times New Roman" w:hAnsi="Times New Roman" w:eastAsia="宋体" w:cs="Times New Roman"/>
          <w:kern w:val="0"/>
          <w:lang w:val="en-GB"/>
        </w:rPr>
        <w:t>2）化学灼伤</w:t>
      </w:r>
      <w:bookmarkEnd w:id="107"/>
      <w:bookmarkEnd w:id="108"/>
      <w:bookmarkEnd w:id="109"/>
      <w:bookmarkEnd w:id="110"/>
      <w:bookmarkEnd w:id="111"/>
      <w:bookmarkEnd w:id="112"/>
      <w:bookmarkEnd w:id="113"/>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US" w:eastAsia="zh-CN"/>
        </w:rPr>
        <w:t>该</w:t>
      </w:r>
      <w:r>
        <w:rPr>
          <w:rFonts w:hint="eastAsia" w:cs="Times New Roman"/>
          <w:lang w:val="en-US" w:eastAsia="zh-CN"/>
        </w:rPr>
        <w:t>企业</w:t>
      </w:r>
      <w:r>
        <w:rPr>
          <w:rFonts w:hint="default" w:ascii="Times New Roman" w:hAnsi="Times New Roman" w:eastAsia="宋体" w:cs="Times New Roman"/>
          <w:kern w:val="0"/>
          <w:lang w:val="en-US" w:eastAsia="zh-CN"/>
        </w:rPr>
        <w:t>生产装置</w:t>
      </w:r>
      <w:r>
        <w:rPr>
          <w:rFonts w:hint="default" w:ascii="Times New Roman" w:hAnsi="Times New Roman" w:eastAsia="宋体" w:cs="Times New Roman"/>
          <w:kern w:val="0"/>
          <w:lang w:val="en-GB"/>
        </w:rPr>
        <w:t>中存在的腐蚀性化学物品，如氟硅酸、氢氟酸等对人体有较强的灼伤力，人体直接接触到此类物质时，会造成严重的灼伤。因此，如果发生设备的跑、冒、泄漏、喷洒、容器管道破裂等均可导致人体表面急性化学灼伤或人身伤亡事故。</w:t>
      </w:r>
    </w:p>
    <w:p>
      <w:pPr>
        <w:ind w:firstLine="560" w:firstLineChars="200"/>
        <w:jc w:val="left"/>
        <w:rPr>
          <w:rFonts w:hint="default" w:ascii="Times New Roman" w:hAnsi="Times New Roman" w:eastAsia="宋体" w:cs="Times New Roman"/>
          <w:kern w:val="0"/>
          <w:lang w:val="en-GB"/>
        </w:rPr>
      </w:pPr>
      <w:r>
        <w:rPr>
          <w:rFonts w:hint="default" w:ascii="Times New Roman" w:hAnsi="Times New Roman" w:eastAsia="宋体" w:cs="Times New Roman"/>
          <w:kern w:val="0"/>
          <w:lang w:val="en-GB"/>
        </w:rPr>
        <w:t>这些腐蚀性介质在生产过程中形成的气、液相强腐蚀介质对建（筑）物砼、钢结构、机械设备、电器线路、道路、地面的腐蚀，可能造成建（构）筑物基础、梁、柱破坏；钢结构失去强度；电器线路接触电阻增加；接地线路损坏；机械设备和容器损坏；槽罐渗漏；道路破损从而引发各种事故。</w:t>
      </w:r>
    </w:p>
    <w:p>
      <w:pPr>
        <w:ind w:firstLine="560" w:firstLineChars="200"/>
        <w:jc w:val="left"/>
        <w:rPr>
          <w:rFonts w:hint="default" w:ascii="Times New Roman" w:hAnsi="Times New Roman" w:cs="Times New Roman"/>
        </w:rPr>
      </w:pPr>
      <w:r>
        <w:rPr>
          <w:rFonts w:hint="default" w:ascii="Times New Roman" w:hAnsi="Times New Roman" w:cs="Times New Roman"/>
        </w:rPr>
        <w:t>3）电灼伤</w:t>
      </w:r>
    </w:p>
    <w:p>
      <w:pPr>
        <w:ind w:firstLine="560" w:firstLineChars="200"/>
        <w:jc w:val="left"/>
        <w:rPr>
          <w:rFonts w:hint="default" w:ascii="Times New Roman" w:hAnsi="Times New Roman" w:cs="Times New Roman"/>
        </w:rPr>
      </w:pPr>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rPr>
        <w:t>生产装置在操作</w:t>
      </w:r>
      <w:r>
        <w:rPr>
          <w:rFonts w:hint="default" w:ascii="Times New Roman" w:hAnsi="Times New Roman" w:cs="Times New Roman"/>
          <w:lang w:val="en-US" w:eastAsia="zh-CN"/>
        </w:rPr>
        <w:t>带电设备</w:t>
      </w:r>
      <w:r>
        <w:rPr>
          <w:rFonts w:hint="default" w:ascii="Times New Roman" w:hAnsi="Times New Roman" w:cs="Times New Roman"/>
        </w:rPr>
        <w:t>时出现误操作，如带负荷拉闸或检修时造成短路，引起电弧，可能引起电弧灼伤。</w:t>
      </w:r>
    </w:p>
    <w:p>
      <w:pPr>
        <w:pStyle w:val="2"/>
        <w:rPr>
          <w:rFonts w:hint="default" w:ascii="Times New Roman" w:hAnsi="Times New Roman" w:cs="Times New Roman"/>
        </w:rPr>
      </w:pPr>
      <w:r>
        <w:rPr>
          <w:rFonts w:hint="default" w:ascii="Times New Roman" w:hAnsi="Times New Roman" w:cs="Times New Roman"/>
        </w:rPr>
        <w:t>B.2.1.4容器爆炸</w:t>
      </w:r>
    </w:p>
    <w:p>
      <w:pPr>
        <w:ind w:firstLine="560" w:firstLineChars="200"/>
        <w:rPr>
          <w:rFonts w:hint="default" w:ascii="Times New Roman" w:hAnsi="Times New Roman" w:cs="Times New Roman"/>
        </w:rPr>
      </w:pPr>
      <w:r>
        <w:rPr>
          <w:rFonts w:hint="default" w:ascii="Times New Roman" w:hAnsi="Times New Roman" w:cs="Times New Roman"/>
        </w:rPr>
        <w:t>众所周知，压力容器是具有较大危险的特种设备。空气储罐在发生超温超压的情况下存在发生容器爆炸的危险。压力容器的使用中可因安全附件失效、过载运行或由于金属材料疲劳、蠕变出现裂缝，造成超压或承压能力降低均发生破裂或爆炸的危险性。也可因维护不良、操作错误、违章作业等人为因素而发生爆炸。</w:t>
      </w:r>
      <w:r>
        <w:rPr>
          <w:rFonts w:hint="default" w:ascii="Times New Roman" w:hAnsi="Times New Roman" w:cs="Times New Roman"/>
          <w:lang w:val="en-US" w:eastAsia="zh-CN"/>
        </w:rPr>
        <w:t>该</w:t>
      </w:r>
      <w:r>
        <w:rPr>
          <w:rFonts w:hint="eastAsia" w:cs="Times New Roman"/>
          <w:lang w:val="en-US" w:eastAsia="zh-CN"/>
        </w:rPr>
        <w:t>企业</w:t>
      </w:r>
      <w:r>
        <w:rPr>
          <w:rFonts w:hint="default" w:ascii="Times New Roman" w:hAnsi="Times New Roman" w:cs="Times New Roman"/>
        </w:rPr>
        <w:t>存在的</w:t>
      </w:r>
      <w:r>
        <w:rPr>
          <w:rFonts w:hint="eastAsia" w:ascii="Times New Roman" w:hAnsi="Times New Roman" w:cs="Times New Roman"/>
          <w:lang w:val="en-US" w:eastAsia="zh-CN"/>
        </w:rPr>
        <w:t>空气储罐为</w:t>
      </w:r>
      <w:r>
        <w:rPr>
          <w:rFonts w:hint="default" w:ascii="Times New Roman" w:hAnsi="Times New Roman" w:cs="Times New Roman"/>
        </w:rPr>
        <w:t>压力容器。如果因安全泄放装置失灵、压力表失准</w:t>
      </w:r>
      <w:r>
        <w:rPr>
          <w:rFonts w:hint="eastAsia" w:cs="Times New Roman"/>
          <w:lang w:eastAsia="zh-CN"/>
        </w:rPr>
        <w:t>、</w:t>
      </w:r>
      <w:r>
        <w:rPr>
          <w:rFonts w:hint="default" w:ascii="Times New Roman" w:hAnsi="Times New Roman" w:cs="Times New Roman"/>
        </w:rPr>
        <w:t>装置失灵等事故而处理不当，超压发生爆炸。</w:t>
      </w:r>
    </w:p>
    <w:p>
      <w:pPr>
        <w:pStyle w:val="2"/>
        <w:rPr>
          <w:rFonts w:hint="default" w:ascii="Times New Roman" w:hAnsi="Times New Roman" w:cs="Times New Roman"/>
        </w:rPr>
      </w:pPr>
      <w:r>
        <w:rPr>
          <w:rFonts w:hint="default" w:ascii="Times New Roman" w:hAnsi="Times New Roman" w:cs="Times New Roman"/>
        </w:rPr>
        <w:t>B.2.1.5触电</w:t>
      </w:r>
    </w:p>
    <w:p>
      <w:pPr>
        <w:ind w:firstLine="560" w:firstLineChars="200"/>
        <w:rPr>
          <w:rFonts w:hint="default" w:ascii="Times New Roman" w:hAnsi="Times New Roman" w:cs="Times New Roman"/>
        </w:rPr>
      </w:pPr>
      <w:r>
        <w:rPr>
          <w:rFonts w:hint="default" w:ascii="Times New Roman" w:hAnsi="Times New Roman" w:cs="Times New Roman"/>
        </w:rPr>
        <w:t>触电事故的种类有：一类叫电击，另一类叫电伤。电击及其分类：电击可分为直接电击与间接电击两种。直接电击是指人体直接触及正常运行的带电体所发生的电击；间接电击则是指电气设备发生故障后，人体触及该意外带电部分所发生的电击。直接电击多数发生在误触相线、刀闸或其它设备带电部分。间接电击大都发生在大风刮断架空线或接户线后，搭落在金属物或广播线上，相线和电杆拉线搭连，电动机等用电设备的线圈绝缘损坏而引起外壳带电等情况下。</w:t>
      </w:r>
    </w:p>
    <w:p>
      <w:pPr>
        <w:ind w:firstLine="560" w:firstLineChars="200"/>
        <w:rPr>
          <w:rFonts w:hint="default" w:ascii="Times New Roman" w:hAnsi="Times New Roman" w:cs="Times New Roman"/>
        </w:rPr>
      </w:pPr>
      <w:r>
        <w:rPr>
          <w:rFonts w:hint="default" w:ascii="Times New Roman" w:hAnsi="Times New Roman" w:cs="Times New Roman"/>
        </w:rPr>
        <w:t>电伤及其分类：电伤是指电流的热效应、化学效应或机械效应对人体造成的伤害。</w:t>
      </w:r>
    </w:p>
    <w:p>
      <w:pPr>
        <w:ind w:firstLine="560" w:firstLineChars="200"/>
        <w:rPr>
          <w:rFonts w:hint="default" w:ascii="Times New Roman" w:hAnsi="Times New Roman" w:cs="Times New Roman"/>
        </w:rPr>
      </w:pPr>
      <w:r>
        <w:rPr>
          <w:rFonts w:hint="default" w:ascii="Times New Roman" w:hAnsi="Times New Roman" w:cs="Times New Roman"/>
        </w:rPr>
        <w:t xml:space="preserve">①电弧烧伤，也叫电灼伤，它是最常见也是最严重的一种电伤，多由电流的热效应引起，具体症状是皮肤发红、起泡、甚至皮肉组织被破坏或烧焦。通常发生在：低压系统带负荷拉开裸露的刀闸开关时电弧烧伤人的手和面部；线路发生短路或误操作引起短路；高压系统因误操作产生强烈电弧导致严重烧伤；人体与带电体之间的距离小于安全距离而放电。   </w:t>
      </w:r>
    </w:p>
    <w:p>
      <w:pPr>
        <w:ind w:firstLine="560" w:firstLineChars="200"/>
        <w:rPr>
          <w:rFonts w:hint="default" w:ascii="Times New Roman" w:hAnsi="Times New Roman" w:cs="Times New Roman"/>
        </w:rPr>
      </w:pPr>
      <w:r>
        <w:rPr>
          <w:rFonts w:hint="default" w:ascii="Times New Roman" w:hAnsi="Times New Roman" w:cs="Times New Roman"/>
        </w:rPr>
        <w:t>②电烙印，当载流导体较长时间接触人体时，因电流的化学效应和机械效应作用，接触部分的皮肤会变硬并形成圆形或椭圆形的肿块痕迹，如同烙印一般。</w:t>
      </w:r>
    </w:p>
    <w:p>
      <w:pPr>
        <w:ind w:firstLine="560" w:firstLineChars="200"/>
        <w:rPr>
          <w:rFonts w:hint="default" w:ascii="Times New Roman" w:hAnsi="Times New Roman" w:cs="Times New Roman"/>
        </w:rPr>
      </w:pPr>
      <w:r>
        <w:rPr>
          <w:rFonts w:hint="default" w:ascii="Times New Roman" w:hAnsi="Times New Roman" w:cs="Times New Roman"/>
        </w:rPr>
        <w:t>③皮肤金属化，由于电流或电弧作用(熔化或蒸发)产生的金属微粒渗入了人体皮肤表层而引起，使皮肤变得粗糙坚硬并呈青黑色或褐色。</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该</w:t>
      </w:r>
      <w:r>
        <w:rPr>
          <w:rFonts w:hint="eastAsia" w:cs="Times New Roman"/>
          <w:lang w:val="en-US" w:eastAsia="zh-CN"/>
        </w:rPr>
        <w:t>企业</w:t>
      </w:r>
      <w:r>
        <w:rPr>
          <w:rFonts w:hint="default" w:ascii="Times New Roman" w:hAnsi="Times New Roman" w:cs="Times New Roman"/>
        </w:rPr>
        <w:t>配置的电气设备、开关箱外壳、机械设备、电机若缺少触电保护接地，或保护接地线电阻超标，一旦出现漏电时，有使作业人员发生触电的危险。管理不当、高温造成电线绝缘部分破损，易发生触电事故。下列情况下，有可能发生触电：</w:t>
      </w:r>
    </w:p>
    <w:p>
      <w:pPr>
        <w:ind w:firstLine="560" w:firstLineChars="200"/>
        <w:rPr>
          <w:rFonts w:hint="default" w:ascii="Times New Roman" w:hAnsi="Times New Roman" w:cs="Times New Roman"/>
        </w:rPr>
      </w:pPr>
      <w:r>
        <w:rPr>
          <w:rFonts w:hint="default" w:ascii="Times New Roman" w:hAnsi="Times New Roman" w:cs="Times New Roman"/>
        </w:rPr>
        <w:t>（1）人体接触带电体，如裸露的导线、带电操作等。</w:t>
      </w:r>
    </w:p>
    <w:p>
      <w:pPr>
        <w:ind w:firstLine="560" w:firstLineChars="200"/>
        <w:rPr>
          <w:rFonts w:hint="default" w:ascii="Times New Roman" w:hAnsi="Times New Roman" w:cs="Times New Roman"/>
        </w:rPr>
      </w:pPr>
      <w:r>
        <w:rPr>
          <w:rFonts w:hint="default" w:ascii="Times New Roman" w:hAnsi="Times New Roman" w:cs="Times New Roman"/>
        </w:rPr>
        <w:t>（2）人体接触发生故障（漏电）的电气设备，如绝缘破坏，接地故障等。</w:t>
      </w:r>
    </w:p>
    <w:p>
      <w:pPr>
        <w:ind w:firstLine="560" w:firstLineChars="200"/>
        <w:rPr>
          <w:rFonts w:hint="default" w:ascii="Times New Roman" w:hAnsi="Times New Roman" w:cs="Times New Roman"/>
        </w:rPr>
      </w:pPr>
      <w:r>
        <w:rPr>
          <w:rFonts w:hint="default" w:ascii="Times New Roman" w:hAnsi="Times New Roman" w:cs="Times New Roman"/>
        </w:rPr>
        <w:t>（3）使用的电动工具不符合安全要求或防护距离不够等。</w:t>
      </w:r>
    </w:p>
    <w:p>
      <w:pPr>
        <w:ind w:firstLine="560" w:firstLineChars="200"/>
        <w:rPr>
          <w:rFonts w:hint="default" w:ascii="Times New Roman" w:hAnsi="Times New Roman" w:cs="Times New Roman"/>
        </w:rPr>
      </w:pPr>
      <w:r>
        <w:rPr>
          <w:rFonts w:hint="default" w:ascii="Times New Roman" w:hAnsi="Times New Roman" w:cs="Times New Roman"/>
        </w:rPr>
        <w:t>（4）在生产过程中由于作业人员不能按照电气工作安全操作规程进行操作或缺乏安全用电常识等原因。</w:t>
      </w:r>
    </w:p>
    <w:p>
      <w:pPr>
        <w:ind w:firstLine="560" w:firstLineChars="200"/>
        <w:rPr>
          <w:rFonts w:hint="default" w:ascii="Times New Roman" w:hAnsi="Times New Roman" w:cs="Times New Roman"/>
        </w:rPr>
      </w:pPr>
      <w:r>
        <w:rPr>
          <w:rFonts w:hint="default" w:ascii="Times New Roman" w:hAnsi="Times New Roman" w:cs="Times New Roman"/>
        </w:rPr>
        <w:t>（5）电工无证上岗，停电时不挂警示牌、送电时有人未撤离、人员劳保穿戴不全等，以及在生产过程中由于作业人员不能按照电气工作安全操作规程进行操作进行操作或缺乏安全用电常识等原因。</w:t>
      </w:r>
    </w:p>
    <w:p>
      <w:pPr>
        <w:pStyle w:val="2"/>
        <w:rPr>
          <w:rFonts w:hint="default" w:ascii="Times New Roman" w:hAnsi="Times New Roman" w:cs="Times New Roman"/>
        </w:rPr>
      </w:pPr>
      <w:r>
        <w:rPr>
          <w:rFonts w:hint="default" w:ascii="Times New Roman" w:hAnsi="Times New Roman" w:cs="Times New Roman"/>
        </w:rPr>
        <w:t>B.2.1.6机械伤害</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该</w:t>
      </w:r>
      <w:r>
        <w:rPr>
          <w:rFonts w:hint="eastAsia" w:cs="Times New Roman"/>
          <w:lang w:val="en-US" w:eastAsia="zh-CN"/>
        </w:rPr>
        <w:t>企业</w:t>
      </w:r>
      <w:r>
        <w:rPr>
          <w:rFonts w:hint="default" w:ascii="Times New Roman" w:hAnsi="Times New Roman" w:cs="Times New Roman"/>
        </w:rPr>
        <w:t>中使用的传动设备、机泵转动设备、传动皮带等，如果防护不当或在检修时误启动可能造成机械伤害事故。机械设备部件或工具直接与人体接触可能造成夹击、碰撞、卷入、割刺等伤害。机械设备如机械防护装置缺乏或机械防护装置存在缺陷，人员强行拆除防护装置或在设备运行时强行进入设备运转、转动部位，检修时未断电和挂警告标志而发生误起动，可能造成机械伤害事故。主要途径为：</w:t>
      </w:r>
    </w:p>
    <w:p>
      <w:pPr>
        <w:ind w:firstLine="560" w:firstLineChars="200"/>
        <w:rPr>
          <w:rFonts w:hint="default" w:ascii="Times New Roman" w:hAnsi="Times New Roman" w:cs="Times New Roman"/>
        </w:rPr>
      </w:pPr>
      <w:r>
        <w:rPr>
          <w:rFonts w:hint="default" w:ascii="Times New Roman" w:hAnsi="Times New Roman" w:cs="Times New Roman"/>
        </w:rPr>
        <w:t>（1）设备的传动、转动部位绞、碾、碰、戳、卷缠，伤及人体</w:t>
      </w:r>
    </w:p>
    <w:p>
      <w:pPr>
        <w:ind w:firstLine="560" w:firstLineChars="200"/>
        <w:rPr>
          <w:rFonts w:hint="default" w:ascii="Times New Roman" w:hAnsi="Times New Roman" w:cs="Times New Roman"/>
        </w:rPr>
      </w:pPr>
      <w:r>
        <w:rPr>
          <w:rFonts w:hint="default" w:ascii="Times New Roman" w:hAnsi="Times New Roman" w:cs="Times New Roman"/>
        </w:rPr>
        <w:t>（2）生产检查、维修设备时，不注意而被碰、割、戳；</w:t>
      </w:r>
    </w:p>
    <w:p>
      <w:pPr>
        <w:ind w:firstLine="560" w:firstLineChars="200"/>
        <w:rPr>
          <w:rFonts w:hint="default" w:ascii="Times New Roman" w:hAnsi="Times New Roman" w:cs="Times New Roman"/>
        </w:rPr>
      </w:pPr>
      <w:r>
        <w:rPr>
          <w:rFonts w:hint="default" w:ascii="Times New Roman" w:hAnsi="Times New Roman" w:cs="Times New Roman"/>
        </w:rPr>
        <w:t>（3）衣物或擦洗设备时棉纱或手套等被绞入转动设备；</w:t>
      </w:r>
    </w:p>
    <w:p>
      <w:pPr>
        <w:ind w:firstLine="560" w:firstLineChars="200"/>
        <w:rPr>
          <w:rFonts w:hint="default" w:ascii="Times New Roman" w:hAnsi="Times New Roman" w:cs="Times New Roman"/>
        </w:rPr>
      </w:pPr>
      <w:r>
        <w:rPr>
          <w:rFonts w:hint="default" w:ascii="Times New Roman" w:hAnsi="Times New Roman" w:cs="Times New Roman"/>
        </w:rPr>
        <w:t>（4）旋转、往复、滑动物体撞击伤人；</w:t>
      </w:r>
    </w:p>
    <w:p>
      <w:pPr>
        <w:ind w:firstLine="560" w:firstLineChars="200"/>
        <w:rPr>
          <w:rFonts w:hint="default" w:ascii="Times New Roman" w:hAnsi="Times New Roman" w:cs="Times New Roman"/>
        </w:rPr>
      </w:pPr>
      <w:r>
        <w:rPr>
          <w:rFonts w:hint="default" w:ascii="Times New Roman" w:hAnsi="Times New Roman" w:cs="Times New Roman"/>
        </w:rPr>
        <w:t>（5）设备检修时未断电和设立警示标志，误起动造成机械伤害；</w:t>
      </w:r>
    </w:p>
    <w:p>
      <w:pPr>
        <w:ind w:firstLine="560" w:firstLineChars="200"/>
        <w:rPr>
          <w:rFonts w:hint="default" w:ascii="Times New Roman" w:hAnsi="Times New Roman" w:cs="Times New Roman"/>
        </w:rPr>
      </w:pPr>
      <w:r>
        <w:rPr>
          <w:rFonts w:hint="default" w:ascii="Times New Roman" w:hAnsi="Times New Roman" w:cs="Times New Roman"/>
        </w:rPr>
        <w:t>（6）设备机械安全防护装置缺失或有缺陷；</w:t>
      </w:r>
    </w:p>
    <w:p>
      <w:pPr>
        <w:ind w:firstLine="560" w:firstLineChars="200"/>
        <w:rPr>
          <w:rFonts w:hint="default" w:ascii="Times New Roman" w:hAnsi="Times New Roman" w:cs="Times New Roman"/>
        </w:rPr>
      </w:pPr>
      <w:r>
        <w:rPr>
          <w:rFonts w:hint="default" w:ascii="Times New Roman" w:hAnsi="Times New Roman" w:cs="Times New Roman"/>
        </w:rPr>
        <w:t>（7）机械设备的保险、信号装置有缺陷；</w:t>
      </w:r>
    </w:p>
    <w:p>
      <w:pPr>
        <w:ind w:firstLine="560" w:firstLineChars="200"/>
        <w:rPr>
          <w:rFonts w:hint="default" w:ascii="Times New Roman" w:hAnsi="Times New Roman" w:cs="Times New Roman"/>
        </w:rPr>
      </w:pPr>
      <w:r>
        <w:rPr>
          <w:rFonts w:hint="default" w:ascii="Times New Roman" w:hAnsi="Times New Roman" w:cs="Times New Roman"/>
        </w:rPr>
        <w:t>（8）员工工作时注意力不集中；</w:t>
      </w:r>
      <w:r>
        <w:rPr>
          <w:rFonts w:hint="default" w:ascii="Times New Roman" w:hAnsi="Times New Roman" w:cs="Times New Roman"/>
        </w:rPr>
        <w:tab/>
      </w:r>
    </w:p>
    <w:p>
      <w:pPr>
        <w:ind w:firstLine="560" w:firstLineChars="200"/>
        <w:rPr>
          <w:rFonts w:hint="default" w:ascii="Times New Roman" w:hAnsi="Times New Roman" w:cs="Times New Roman"/>
        </w:rPr>
      </w:pPr>
      <w:r>
        <w:rPr>
          <w:rFonts w:hint="default" w:ascii="Times New Roman" w:hAnsi="Times New Roman" w:cs="Times New Roman"/>
        </w:rPr>
        <w:t xml:space="preserve">（9）劳动防护用品未正确穿戴； </w:t>
      </w:r>
    </w:p>
    <w:p>
      <w:pPr>
        <w:ind w:firstLine="560" w:firstLineChars="200"/>
        <w:rPr>
          <w:rFonts w:hint="default" w:ascii="Times New Roman" w:hAnsi="Times New Roman" w:cs="Times New Roman"/>
        </w:rPr>
      </w:pPr>
      <w:r>
        <w:rPr>
          <w:rFonts w:hint="default" w:ascii="Times New Roman" w:hAnsi="Times New Roman" w:cs="Times New Roman"/>
        </w:rPr>
        <w:t>（10）设备突出的机械部分、工具设备边缘毛刺或锋利处碰伤。</w:t>
      </w:r>
    </w:p>
    <w:p>
      <w:pPr>
        <w:pStyle w:val="2"/>
        <w:rPr>
          <w:rFonts w:hint="default" w:ascii="Times New Roman" w:hAnsi="Times New Roman" w:cs="Times New Roman"/>
        </w:rPr>
      </w:pPr>
      <w:r>
        <w:rPr>
          <w:rFonts w:hint="default" w:ascii="Times New Roman" w:hAnsi="Times New Roman" w:cs="Times New Roman"/>
        </w:rPr>
        <w:t>B.2.1.7车辆伤害</w:t>
      </w:r>
    </w:p>
    <w:p>
      <w:pPr>
        <w:ind w:firstLine="552" w:firstLineChars="200"/>
        <w:rPr>
          <w:rFonts w:hint="default" w:ascii="Times New Roman" w:hAnsi="Times New Roman" w:cs="Times New Roman"/>
          <w:spacing w:val="-2"/>
        </w:rPr>
      </w:pPr>
      <w:r>
        <w:rPr>
          <w:rFonts w:hint="default" w:ascii="Times New Roman" w:hAnsi="Times New Roman" w:cs="Times New Roman"/>
          <w:spacing w:val="-2"/>
        </w:rPr>
        <w:t>指企业机动车辆在行驶中引起的人体坠落和物体倒塌、飞落、挤压伤亡事故。该</w:t>
      </w:r>
      <w:r>
        <w:rPr>
          <w:rFonts w:hint="eastAsia" w:cs="Times New Roman"/>
          <w:lang w:val="en-US" w:eastAsia="zh-CN"/>
        </w:rPr>
        <w:t>企业</w:t>
      </w:r>
      <w:r>
        <w:rPr>
          <w:rFonts w:hint="default" w:ascii="Times New Roman" w:hAnsi="Times New Roman" w:cs="Times New Roman"/>
          <w:spacing w:val="-2"/>
        </w:rPr>
        <w:t>原料和产品等由</w:t>
      </w:r>
      <w:r>
        <w:rPr>
          <w:rFonts w:hint="default" w:ascii="Times New Roman" w:hAnsi="Times New Roman" w:cs="Times New Roman"/>
          <w:spacing w:val="-2"/>
          <w:lang w:val="en-US" w:eastAsia="zh-CN"/>
        </w:rPr>
        <w:t>槽车</w:t>
      </w:r>
      <w:r>
        <w:rPr>
          <w:rFonts w:hint="default" w:ascii="Times New Roman" w:hAnsi="Times New Roman" w:cs="Times New Roman"/>
          <w:spacing w:val="-2"/>
        </w:rPr>
        <w:t>和叉车运输，因此，正常生产过程时厂内机动车辆来往频繁，有可能因车辆违章行驶造成车辆伤害；厂内机动车辆在厂内作业行驶，如违章搭人、装运物资不当影响驾驶人员视线，另外道路参数，视线不良；缺少行车安全警示标志；车辆或驾驶人员的管理等方面的缺陷；驾驶人员违章作业或无证上岗等可能造成人员车辆伤害事故。</w:t>
      </w:r>
    </w:p>
    <w:p>
      <w:pPr>
        <w:pStyle w:val="2"/>
        <w:rPr>
          <w:rFonts w:hint="default" w:ascii="Times New Roman" w:hAnsi="Times New Roman" w:cs="Times New Roman"/>
        </w:rPr>
      </w:pPr>
      <w:r>
        <w:rPr>
          <w:rFonts w:hint="default" w:ascii="Times New Roman" w:hAnsi="Times New Roman" w:cs="Times New Roman"/>
        </w:rPr>
        <w:t>B.2.1.8物体打击</w:t>
      </w:r>
    </w:p>
    <w:p>
      <w:pPr>
        <w:ind w:firstLine="560" w:firstLineChars="200"/>
        <w:rPr>
          <w:rFonts w:hint="default" w:ascii="Times New Roman" w:hAnsi="Times New Roman" w:cs="Times New Roman"/>
        </w:rPr>
      </w:pPr>
      <w:r>
        <w:rPr>
          <w:rFonts w:hint="default" w:ascii="Times New Roman" w:hAnsi="Times New Roman" w:cs="Times New Roman"/>
        </w:rPr>
        <w:t>物体在外力或重力作用下，打击人体会造成人身伤害事故。高处的物体固定不牢，排空管线等固定不牢，因腐蚀或风造成断裂，检修时使用工具飞出击打到人体上；高处作业或在高处平台上作业工具，材料使用、放置不当，造成高空落物等；桶装物料搬运、装卸过程发生跌落碰及人体；发生爆炸产生的碎片飞出等，造成物体打击事故。造成物体打击原因为物体从上往下落或飞在人体身上造成的事故。</w:t>
      </w:r>
    </w:p>
    <w:p>
      <w:pPr>
        <w:pStyle w:val="2"/>
        <w:rPr>
          <w:rFonts w:hint="default" w:ascii="Times New Roman" w:hAnsi="Times New Roman" w:cs="Times New Roman"/>
        </w:rPr>
      </w:pPr>
      <w:r>
        <w:rPr>
          <w:rFonts w:hint="default" w:ascii="Times New Roman" w:hAnsi="Times New Roman" w:cs="Times New Roman"/>
        </w:rPr>
        <w:t>B.2.1.9起重伤害</w:t>
      </w:r>
    </w:p>
    <w:p>
      <w:pPr>
        <w:ind w:firstLine="560" w:firstLineChars="200"/>
        <w:rPr>
          <w:rFonts w:hint="default" w:ascii="Times New Roman" w:hAnsi="Times New Roman" w:cs="Times New Roman"/>
        </w:rPr>
      </w:pPr>
      <w:r>
        <w:rPr>
          <w:rFonts w:hint="default" w:ascii="Times New Roman" w:hAnsi="Times New Roman" w:cs="Times New Roman"/>
        </w:rPr>
        <w:t>起重伤害是指起重设备安装、检修、试验中发生的挤压、坠落，运行时吊具、吊重的物体打击和触电事故。</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该</w:t>
      </w:r>
      <w:r>
        <w:rPr>
          <w:rFonts w:hint="eastAsia" w:cs="Times New Roman"/>
          <w:lang w:val="en-US" w:eastAsia="zh-CN"/>
        </w:rPr>
        <w:t>企业</w:t>
      </w:r>
      <w:r>
        <w:rPr>
          <w:rFonts w:hint="default" w:ascii="Times New Roman" w:hAnsi="Times New Roman" w:cs="Times New Roman"/>
        </w:rPr>
        <w:t>涉及</w:t>
      </w:r>
      <w:r>
        <w:rPr>
          <w:rFonts w:hint="default" w:ascii="Times New Roman" w:hAnsi="Times New Roman" w:cs="Times New Roman"/>
          <w:lang w:val="en-US" w:eastAsia="zh-CN"/>
        </w:rPr>
        <w:t>小型的电动葫芦</w:t>
      </w:r>
      <w:r>
        <w:rPr>
          <w:rFonts w:hint="default" w:ascii="Times New Roman" w:hAnsi="Times New Roman" w:cs="Times New Roman"/>
        </w:rPr>
        <w:t>、叉车等，如因起重设备安全附件失灵或人为拆除，违章作业，钢丝绳断裂，指挥信号失误，吊物下站人等或检修时未使用相应的防护用品，可能造成起重伤害事故。</w:t>
      </w:r>
    </w:p>
    <w:p>
      <w:pPr>
        <w:pStyle w:val="2"/>
        <w:rPr>
          <w:rFonts w:hint="default" w:ascii="Times New Roman" w:hAnsi="Times New Roman" w:cs="Times New Roman"/>
        </w:rPr>
      </w:pPr>
      <w:r>
        <w:rPr>
          <w:rFonts w:hint="default" w:ascii="Times New Roman" w:hAnsi="Times New Roman" w:cs="Times New Roman"/>
        </w:rPr>
        <w:t>B.2.1.10淹溺</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该</w:t>
      </w:r>
      <w:r>
        <w:rPr>
          <w:rFonts w:hint="eastAsia" w:cs="Times New Roman"/>
          <w:lang w:val="en-US" w:eastAsia="zh-CN"/>
        </w:rPr>
        <w:t>企业</w:t>
      </w:r>
      <w:r>
        <w:rPr>
          <w:rFonts w:hint="default" w:ascii="Times New Roman" w:hAnsi="Times New Roman" w:cs="Times New Roman"/>
        </w:rPr>
        <w:t>设置的消防水池、事故应急池等因未设防护装置或防护装置缺陷，作业人员注意力不集中、作业场所照明及视线不清等原因发生人员掉入池内，发生人员淹溺事故。</w:t>
      </w:r>
    </w:p>
    <w:p>
      <w:pPr>
        <w:pStyle w:val="2"/>
        <w:rPr>
          <w:rFonts w:hint="default" w:ascii="Times New Roman" w:hAnsi="Times New Roman" w:cs="Times New Roman"/>
        </w:rPr>
      </w:pPr>
      <w:r>
        <w:rPr>
          <w:rFonts w:hint="default" w:ascii="Times New Roman" w:hAnsi="Times New Roman" w:cs="Times New Roman"/>
        </w:rPr>
        <w:t>B.2.1.11高处坠落</w:t>
      </w:r>
    </w:p>
    <w:p>
      <w:pPr>
        <w:ind w:firstLine="560" w:firstLineChars="200"/>
        <w:rPr>
          <w:rFonts w:hint="default" w:ascii="Times New Roman" w:hAnsi="Times New Roman" w:cs="Times New Roman"/>
          <w:spacing w:val="-2"/>
        </w:rPr>
      </w:pPr>
      <w:r>
        <w:rPr>
          <w:rFonts w:hint="default" w:ascii="Times New Roman" w:hAnsi="Times New Roman" w:cs="Times New Roman"/>
          <w:lang w:val="en-US" w:eastAsia="zh-CN"/>
        </w:rPr>
        <w:t>该</w:t>
      </w:r>
      <w:r>
        <w:rPr>
          <w:rFonts w:hint="eastAsia" w:cs="Times New Roman"/>
          <w:lang w:val="en-US" w:eastAsia="zh-CN"/>
        </w:rPr>
        <w:t>企业</w:t>
      </w:r>
      <w:r>
        <w:rPr>
          <w:rFonts w:hint="default" w:ascii="Times New Roman" w:hAnsi="Times New Roman" w:cs="Times New Roman"/>
        </w:rPr>
        <w:t>厂房、储罐等配套设置了钢梯、操作平台</w:t>
      </w:r>
      <w:r>
        <w:rPr>
          <w:rFonts w:hint="default" w:ascii="Times New Roman" w:hAnsi="Times New Roman" w:cs="Times New Roman"/>
          <w:spacing w:val="-2"/>
        </w:rPr>
        <w:t>，操作人经常通过钢斜梯、平台到达操作、维护、调节、检修、检查的作业位作业平面，这样虽然方便了作业，但由于处于高处，存在一定的势能，也存在着危险——高处坠落。这些处于地坪2m以上高处作业的平台、若损坏、松动、打滑或不符合规范要求等，当作业人员在巡检或操作不慎而失去平衡极有可能造成坠落。此外，有时为高处检修的需要，搭建临时平台或脚手架，如果搭建不牢或不符合有关安全要求，或作业人员未遵守相关安全规定等，都容易发生高处坠落事故。特别需要指出的是该</w:t>
      </w:r>
      <w:r>
        <w:rPr>
          <w:rFonts w:hint="eastAsia" w:cs="Times New Roman"/>
          <w:lang w:val="en-US" w:eastAsia="zh-CN"/>
        </w:rPr>
        <w:t>企业</w:t>
      </w:r>
      <w:r>
        <w:rPr>
          <w:rFonts w:hint="default" w:ascii="Times New Roman" w:hAnsi="Times New Roman" w:cs="Times New Roman"/>
          <w:spacing w:val="-2"/>
        </w:rPr>
        <w:t>生产装置中设置的立式储罐较高，其用于检查、检修的钢直梯若未设置防护栏，其高处坠落的危险性非常大。</w:t>
      </w:r>
    </w:p>
    <w:p>
      <w:pPr>
        <w:ind w:firstLine="560" w:firstLineChars="200"/>
        <w:rPr>
          <w:rFonts w:hint="default" w:ascii="Times New Roman" w:hAnsi="Times New Roman" w:cs="Times New Roman"/>
        </w:rPr>
      </w:pPr>
      <w:r>
        <w:rPr>
          <w:rFonts w:hint="default" w:ascii="Times New Roman" w:hAnsi="Times New Roman" w:cs="Times New Roman"/>
        </w:rPr>
        <w:t>高处坠落常常是由于人体在高处失去重心坠落后头部先着地受到冲造成脑外伤而致命，或四肢、躯干、腰椎等部位着地受到冲击而造成重伤甚至终身残疾。造成高处坠落事故的原因主要有：</w:t>
      </w:r>
    </w:p>
    <w:p>
      <w:pPr>
        <w:ind w:firstLine="560" w:firstLineChars="200"/>
        <w:rPr>
          <w:rFonts w:hint="default" w:ascii="Times New Roman" w:hAnsi="Times New Roman" w:cs="Times New Roman"/>
        </w:rPr>
      </w:pPr>
      <w:r>
        <w:rPr>
          <w:rFonts w:hint="default" w:ascii="Times New Roman" w:hAnsi="Times New Roman" w:cs="Times New Roman"/>
        </w:rPr>
        <w:t>1)违章作业、违章指挥，不按高处作业的规程进行作业，如不办理《高处作业安全许可证》，对高处作业危险未采取应有的措施。</w:t>
      </w:r>
    </w:p>
    <w:p>
      <w:pPr>
        <w:ind w:firstLine="560" w:firstLineChars="200"/>
        <w:rPr>
          <w:rFonts w:hint="default" w:ascii="Times New Roman" w:hAnsi="Times New Roman" w:cs="Times New Roman"/>
        </w:rPr>
      </w:pPr>
      <w:r>
        <w:rPr>
          <w:rFonts w:hint="default" w:ascii="Times New Roman" w:hAnsi="Times New Roman" w:cs="Times New Roman"/>
        </w:rPr>
        <w:t>2)高处作业人员不遵守作业规程，心存侥幸，如不系安全带、不戴安全帽或其他防护措施等。</w:t>
      </w:r>
    </w:p>
    <w:p>
      <w:pPr>
        <w:ind w:firstLine="560" w:firstLineChars="200"/>
        <w:rPr>
          <w:rFonts w:hint="default" w:ascii="Times New Roman" w:hAnsi="Times New Roman" w:cs="Times New Roman"/>
        </w:rPr>
      </w:pPr>
      <w:r>
        <w:rPr>
          <w:rFonts w:hint="default" w:ascii="Times New Roman" w:hAnsi="Times New Roman" w:cs="Times New Roman"/>
        </w:rPr>
        <w:t>3)作业现场存在事故隐患，如建、构筑物用于设备吊装的预留孔未设防护栏或未加盖板，钢平台、楼梯扶手严重腐蚀或开焊等，或者因设备检修等需要而将栏杆等防护设施暂时拆除，作业人员未引起注意等。</w:t>
      </w:r>
    </w:p>
    <w:p>
      <w:pPr>
        <w:ind w:firstLine="560" w:firstLineChars="200"/>
        <w:rPr>
          <w:rFonts w:hint="default" w:ascii="Times New Roman" w:hAnsi="Times New Roman" w:cs="Times New Roman"/>
        </w:rPr>
      </w:pPr>
      <w:r>
        <w:rPr>
          <w:rFonts w:hint="default" w:ascii="Times New Roman" w:hAnsi="Times New Roman" w:cs="Times New Roman"/>
        </w:rPr>
        <w:t>4)作业人员长时间登高作业过于疲劳而发生坠落等。</w:t>
      </w:r>
    </w:p>
    <w:p>
      <w:pPr>
        <w:ind w:firstLine="560" w:firstLineChars="200"/>
        <w:rPr>
          <w:rFonts w:hint="default" w:ascii="Times New Roman" w:hAnsi="Times New Roman" w:cs="Times New Roman"/>
        </w:rPr>
      </w:pPr>
      <w:r>
        <w:rPr>
          <w:rFonts w:hint="default" w:ascii="Times New Roman" w:hAnsi="Times New Roman" w:cs="Times New Roman"/>
        </w:rPr>
        <w:t>5)登高未按规定搭设脚手架或平台，只靠作业人员随建构筑物或其他构件攀登，造成坠落，或脚手架所用材料不符合要求、搭设不规范不安全，致使其倒塌造成作业人员从脚手架上坠落。</w:t>
      </w:r>
    </w:p>
    <w:p>
      <w:pPr>
        <w:ind w:firstLine="560" w:firstLineChars="200"/>
        <w:rPr>
          <w:rFonts w:hint="default" w:ascii="Times New Roman" w:hAnsi="Times New Roman" w:cs="Times New Roman"/>
        </w:rPr>
      </w:pPr>
      <w:r>
        <w:rPr>
          <w:rFonts w:hint="default" w:ascii="Times New Roman" w:hAnsi="Times New Roman" w:cs="Times New Roman"/>
        </w:rPr>
        <w:t>高处坠落事故多发于设备检修作业过程中，因此，在进行设备检修时应特别注意。</w:t>
      </w:r>
    </w:p>
    <w:p>
      <w:pPr>
        <w:pStyle w:val="2"/>
        <w:rPr>
          <w:rFonts w:hint="default" w:ascii="Times New Roman" w:hAnsi="Times New Roman" w:cs="Times New Roman"/>
        </w:rPr>
      </w:pPr>
      <w:r>
        <w:rPr>
          <w:rFonts w:hint="default" w:ascii="Times New Roman" w:hAnsi="Times New Roman" w:cs="Times New Roman"/>
        </w:rPr>
        <w:t>B.2.1.12其他伤害</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该</w:t>
      </w:r>
      <w:r>
        <w:rPr>
          <w:rFonts w:hint="eastAsia" w:cs="Times New Roman"/>
          <w:lang w:val="en-US" w:eastAsia="zh-CN"/>
        </w:rPr>
        <w:t>企业</w:t>
      </w:r>
      <w:r>
        <w:rPr>
          <w:rFonts w:hint="default" w:ascii="Times New Roman" w:hAnsi="Times New Roman" w:cs="Times New Roman"/>
        </w:rPr>
        <w:t>可能发生搬运重物时的碰伤、扭伤，因地面湿滑产生非机动车碰撞造成的滑倒等伤害。</w:t>
      </w:r>
    </w:p>
    <w:p>
      <w:pPr>
        <w:pStyle w:val="5"/>
        <w:ind w:left="0" w:leftChars="0"/>
        <w:rPr>
          <w:rFonts w:hint="default" w:ascii="Times New Roman" w:hAnsi="Times New Roman" w:cs="Times New Roman"/>
          <w:smallCaps/>
        </w:rPr>
      </w:pPr>
      <w:r>
        <w:rPr>
          <w:rFonts w:hint="default" w:ascii="Times New Roman" w:hAnsi="Times New Roman" w:cs="Times New Roman"/>
        </w:rPr>
        <w:t xml:space="preserve">B.2.2 </w:t>
      </w:r>
      <w:r>
        <w:rPr>
          <w:rFonts w:hint="default" w:ascii="Times New Roman" w:hAnsi="Times New Roman" w:cs="Times New Roman"/>
          <w:smallCaps/>
        </w:rPr>
        <w:t>有害因素分析</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该</w:t>
      </w:r>
      <w:r>
        <w:rPr>
          <w:rFonts w:hint="eastAsia" w:cs="Times New Roman"/>
          <w:lang w:val="en-US" w:eastAsia="zh-CN"/>
        </w:rPr>
        <w:t>企业</w:t>
      </w:r>
      <w:r>
        <w:rPr>
          <w:rFonts w:hint="default" w:ascii="Times New Roman" w:hAnsi="Times New Roman" w:cs="Times New Roman"/>
        </w:rPr>
        <w:t>的生产系统和辅助系统中存在的有害因素为噪声与振动、粉尘、高温及热辐射。</w:t>
      </w:r>
    </w:p>
    <w:p>
      <w:pPr>
        <w:pStyle w:val="2"/>
        <w:rPr>
          <w:rFonts w:hint="default" w:ascii="Times New Roman" w:hAnsi="Times New Roman" w:cs="Times New Roman"/>
        </w:rPr>
      </w:pPr>
      <w:r>
        <w:rPr>
          <w:rFonts w:hint="default" w:ascii="Times New Roman" w:hAnsi="Times New Roman" w:cs="Times New Roman"/>
        </w:rPr>
        <w:t>B.2.2.1噪声与振动</w:t>
      </w:r>
    </w:p>
    <w:p>
      <w:pPr>
        <w:ind w:firstLine="560" w:firstLineChars="200"/>
        <w:rPr>
          <w:rFonts w:hint="default" w:ascii="Times New Roman" w:hAnsi="Times New Roman" w:cs="Times New Roman"/>
        </w:rPr>
      </w:pPr>
      <w:r>
        <w:rPr>
          <w:rFonts w:hint="default" w:ascii="Times New Roman" w:hAnsi="Times New Roman" w:cs="Times New Roman"/>
        </w:rPr>
        <w:t>噪声是一种人们所不希望要的声音。它经常影响着人们的情绪和健康，干扰人们的工作和正常生活。长期工作在高噪声环境下而又没有采取任何有效的防护措施，必将导致永久性的无可挽回的听力损失，甚至导致严重的职业性耳聋。职业性耳聋列为重要的职业病之一。强噪声除了可导致耳聋外，还可对人体的神经系统、心血管系统、消化系统，以及生殖机能等，产生不良的影响。由于噪声易造成心理恐惧以及对报警信号的遮蔽，它常又是造成工伤死亡事故的重要配合因素。患有职业性耳聋的工人在工作中很难很好地与别人交换意见，以致影响工作效率。</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该</w:t>
      </w:r>
      <w:r>
        <w:rPr>
          <w:rFonts w:hint="eastAsia" w:cs="Times New Roman"/>
          <w:lang w:val="en-US" w:eastAsia="zh-CN"/>
        </w:rPr>
        <w:t>企业</w:t>
      </w:r>
      <w:r>
        <w:rPr>
          <w:rFonts w:hint="default" w:ascii="Times New Roman" w:hAnsi="Times New Roman" w:cs="Times New Roman"/>
        </w:rPr>
        <w:t>产生噪声源的主要设施为各类泵、空气压缩机以及生产过程中一些机械传动设备，其在运行过程中可能产生机械性或气动性噪声。</w:t>
      </w:r>
    </w:p>
    <w:p>
      <w:pPr>
        <w:pStyle w:val="2"/>
        <w:rPr>
          <w:rFonts w:hint="default" w:ascii="Times New Roman" w:hAnsi="Times New Roman" w:cs="Times New Roman"/>
        </w:rPr>
      </w:pPr>
      <w:r>
        <w:rPr>
          <w:rFonts w:hint="default" w:ascii="Times New Roman" w:hAnsi="Times New Roman" w:cs="Times New Roman"/>
        </w:rPr>
        <w:t>B.2.2.2粉尘</w:t>
      </w:r>
    </w:p>
    <w:p>
      <w:pPr>
        <w:ind w:firstLine="560" w:firstLineChars="200"/>
        <w:rPr>
          <w:rFonts w:hint="default" w:ascii="Times New Roman" w:hAnsi="Times New Roman" w:cs="Times New Roman"/>
        </w:rPr>
      </w:pPr>
      <w:r>
        <w:rPr>
          <w:rFonts w:hint="default" w:ascii="Times New Roman" w:hAnsi="Times New Roman" w:cs="Times New Roman"/>
        </w:rPr>
        <w:t>粉尘是指能够较长时间悬浮在空气中的固体细微颗粒，其粒径大都在 0.01～20微米之间，绝大多数为0.5~5微米。细小的粉尘被吸入人体后会激活血液中的血小板，从而增加血液的凝固性。生产性粉尘是指生产过程中所产生的粉尘，主要产生于包装过程和清扫、检修作业等作业场所。</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该</w:t>
      </w:r>
      <w:r>
        <w:rPr>
          <w:rFonts w:hint="eastAsia" w:cs="Times New Roman"/>
          <w:lang w:val="en-US" w:eastAsia="zh-CN"/>
        </w:rPr>
        <w:t>企业</w:t>
      </w:r>
      <w:r>
        <w:rPr>
          <w:rFonts w:hint="default" w:ascii="Times New Roman" w:hAnsi="Times New Roman" w:cs="Times New Roman"/>
        </w:rPr>
        <w:t>中粉尘主要为硼酸、氟化钡、氟化钠等固态粉尘物质，人员如长期接触易造成皮肤及呼吸道伤害。</w:t>
      </w:r>
    </w:p>
    <w:p>
      <w:pPr>
        <w:ind w:firstLine="560" w:firstLineChars="200"/>
        <w:rPr>
          <w:rFonts w:hint="default" w:ascii="Times New Roman" w:hAnsi="Times New Roman" w:cs="Times New Roman"/>
        </w:rPr>
      </w:pPr>
      <w:r>
        <w:rPr>
          <w:rFonts w:hint="default" w:ascii="Times New Roman" w:hAnsi="Times New Roman" w:cs="Times New Roman"/>
        </w:rPr>
        <w:t>粉尘对生产设备的危害：影响电机、设备的散热，增加机械设备转动部件的磨损，降低电气、设备使用寿命。</w:t>
      </w:r>
    </w:p>
    <w:p>
      <w:pPr>
        <w:pStyle w:val="2"/>
        <w:rPr>
          <w:rFonts w:hint="default" w:ascii="Times New Roman" w:hAnsi="Times New Roman" w:cs="Times New Roman"/>
        </w:rPr>
      </w:pPr>
      <w:r>
        <w:rPr>
          <w:rFonts w:hint="default" w:ascii="Times New Roman" w:hAnsi="Times New Roman" w:cs="Times New Roman"/>
        </w:rPr>
        <w:t>B.2.2.3高温与热辐射</w:t>
      </w:r>
    </w:p>
    <w:p>
      <w:pPr>
        <w:ind w:firstLine="560" w:firstLineChars="200"/>
        <w:rPr>
          <w:rFonts w:hint="default" w:ascii="Times New Roman" w:hAnsi="Times New Roman" w:eastAsia="宋体" w:cs="Times New Roman"/>
          <w:lang w:val="en-US" w:eastAsia="zh-CN"/>
        </w:rPr>
      </w:pPr>
      <w:r>
        <w:rPr>
          <w:rFonts w:hint="default" w:ascii="Times New Roman" w:hAnsi="Times New Roman" w:cs="Times New Roman"/>
          <w:lang w:val="en-US" w:eastAsia="zh-CN"/>
        </w:rPr>
        <w:t>该</w:t>
      </w:r>
      <w:r>
        <w:rPr>
          <w:rFonts w:hint="eastAsia" w:cs="Times New Roman"/>
          <w:lang w:val="en-US" w:eastAsia="zh-CN"/>
        </w:rPr>
        <w:t>企业</w:t>
      </w:r>
      <w:r>
        <w:rPr>
          <w:rFonts w:hint="default" w:ascii="Times New Roman" w:hAnsi="Times New Roman" w:cs="Times New Roman"/>
        </w:rPr>
        <w:t>所在地极端最高气温</w:t>
      </w:r>
      <w:r>
        <w:rPr>
          <w:rFonts w:hint="default" w:ascii="Times New Roman" w:hAnsi="Times New Roman" w:cs="Times New Roman"/>
          <w:lang w:eastAsia="zh-CN"/>
        </w:rPr>
        <w:t>40.5℃</w:t>
      </w:r>
      <w:r>
        <w:rPr>
          <w:rFonts w:hint="default" w:ascii="Times New Roman" w:hAnsi="Times New Roman" w:cs="Times New Roman"/>
        </w:rPr>
        <w:t>，相对湿度可达到近100%，</w:t>
      </w:r>
      <w:r>
        <w:rPr>
          <w:rFonts w:hint="default" w:ascii="Times New Roman" w:hAnsi="Times New Roman" w:cs="Times New Roman"/>
          <w:lang w:val="zh-CN"/>
        </w:rPr>
        <w:t>如通风不良就形成高温、高湿和低气流的不良气象条件，即湿热环境。人在此环境下劳动，即使气温不很高，但由于蒸发散热更为困难，故虽大量出汗也不能发挥有效的散热作用，易导致体内热蓄积或水、电解质平衡失调，从而发生中暑。</w:t>
      </w:r>
    </w:p>
    <w:p>
      <w:pPr>
        <w:ind w:firstLine="560" w:firstLineChars="200"/>
        <w:rPr>
          <w:rFonts w:hint="default" w:ascii="Times New Roman" w:hAnsi="Times New Roman" w:cs="Times New Roman"/>
          <w:lang w:val="zh-CN"/>
        </w:rPr>
      </w:pPr>
      <w:r>
        <w:rPr>
          <w:rFonts w:hint="default" w:ascii="Times New Roman" w:hAnsi="Times New Roman" w:cs="Times New Roman"/>
          <w:lang w:val="zh-CN"/>
        </w:rPr>
        <w:t>夏季露天作业，如：露天物料搬运、露天设备检修等，其高温和热辐射主要来源是太阳辐射。夏季露天作业时还受地表和周围物体二次辐射源的附加热作用。露天作业中的热辐射强度作用的持续时间较长，且头颅常受到阳光直接照射，加之中午前后气温升高，此时如劳动强度过大，则人体极易因过度蓄热而中暑。此外，夏天作业时，因建筑物遮挡了气流，常因无风而感到闷热不适，如不采取防暑措施，也易发生中暑。</w:t>
      </w:r>
    </w:p>
    <w:p>
      <w:pPr>
        <w:ind w:firstLine="560" w:firstLineChars="200"/>
        <w:rPr>
          <w:rFonts w:hint="default" w:ascii="Times New Roman" w:hAnsi="Times New Roman" w:cs="Times New Roman"/>
          <w:lang w:val="zh-CN"/>
        </w:rPr>
      </w:pPr>
      <w:r>
        <w:rPr>
          <w:rFonts w:hint="default" w:ascii="Times New Roman" w:hAnsi="Times New Roman" w:cs="Times New Roman"/>
          <w:lang w:val="zh-CN"/>
        </w:rPr>
        <w:t>高温可使作业工人感到热、头晕、心慌、烦、渴、无力、疲倦等不适感，可出现一系列生理功能的改变，主要表现在：</w:t>
      </w:r>
    </w:p>
    <w:p>
      <w:pPr>
        <w:ind w:firstLine="560" w:firstLineChars="200"/>
        <w:rPr>
          <w:rFonts w:hint="default" w:ascii="Times New Roman" w:hAnsi="Times New Roman" w:cs="Times New Roman"/>
          <w:lang w:val="zh-CN"/>
        </w:rPr>
      </w:pPr>
      <w:r>
        <w:rPr>
          <w:rFonts w:hint="default" w:ascii="Times New Roman" w:hAnsi="Times New Roman" w:cs="Times New Roman"/>
          <w:lang w:val="zh-CN"/>
        </w:rPr>
        <w:t>1、体温调节障碍，由于体内蓄热，体温升高。</w:t>
      </w:r>
    </w:p>
    <w:p>
      <w:pPr>
        <w:ind w:firstLine="560" w:firstLineChars="200"/>
        <w:rPr>
          <w:rFonts w:hint="default" w:ascii="Times New Roman" w:hAnsi="Times New Roman" w:cs="Times New Roman"/>
          <w:lang w:val="zh-CN"/>
        </w:rPr>
      </w:pPr>
      <w:r>
        <w:rPr>
          <w:rFonts w:hint="default" w:ascii="Times New Roman" w:hAnsi="Times New Roman" w:cs="Times New Roman"/>
          <w:lang w:val="zh-CN"/>
        </w:rPr>
        <w:t>2、大量水盐丧失，可引起水盐代谢平衡紊乱，导致体内酸碱平衡和渗透压失调。</w:t>
      </w:r>
    </w:p>
    <w:p>
      <w:pPr>
        <w:ind w:firstLine="560" w:firstLineChars="200"/>
        <w:rPr>
          <w:rFonts w:hint="default" w:ascii="Times New Roman" w:hAnsi="Times New Roman" w:cs="Times New Roman"/>
          <w:lang w:val="zh-CN"/>
        </w:rPr>
      </w:pPr>
      <w:r>
        <w:rPr>
          <w:rFonts w:hint="default" w:ascii="Times New Roman" w:hAnsi="Times New Roman" w:cs="Times New Roman"/>
          <w:lang w:val="zh-CN"/>
        </w:rPr>
        <w:t>3、心律脉搏加快，皮肤血管扩张及血管紧张度增加，加重心脏负担，血压下降。但重体力劳动时，血压也可能增加。</w:t>
      </w:r>
    </w:p>
    <w:p>
      <w:pPr>
        <w:ind w:firstLine="560" w:firstLineChars="200"/>
        <w:rPr>
          <w:rFonts w:hint="default" w:ascii="Times New Roman" w:hAnsi="Times New Roman" w:cs="Times New Roman"/>
          <w:lang w:val="zh-CN"/>
        </w:rPr>
      </w:pPr>
      <w:r>
        <w:rPr>
          <w:rFonts w:hint="default" w:ascii="Times New Roman" w:hAnsi="Times New Roman" w:cs="Times New Roman"/>
          <w:lang w:val="zh-CN"/>
        </w:rPr>
        <w:t>4、消化道贫血，唾液、胃液分泌减少，胃液酸度减低，淀粉活性下降，胃肠蠕动减慢，造成消化不良和其他胃肠道疾病增加。</w:t>
      </w:r>
    </w:p>
    <w:p>
      <w:pPr>
        <w:ind w:firstLine="560" w:firstLineChars="200"/>
        <w:rPr>
          <w:rFonts w:hint="default" w:ascii="Times New Roman" w:hAnsi="Times New Roman" w:cs="Times New Roman"/>
          <w:lang w:val="zh-CN"/>
        </w:rPr>
      </w:pPr>
      <w:r>
        <w:rPr>
          <w:rFonts w:hint="default" w:ascii="Times New Roman" w:hAnsi="Times New Roman" w:cs="Times New Roman"/>
          <w:lang w:val="zh-CN"/>
        </w:rPr>
        <w:t>5、高温条件下若水盐供应不足可使尿浓缩，增加肾脏负担，有时可见到肾功能不全，尿中出现蛋白、红细胞等。</w:t>
      </w:r>
    </w:p>
    <w:p>
      <w:pPr>
        <w:ind w:firstLine="560" w:firstLineChars="200"/>
        <w:rPr>
          <w:rFonts w:hint="default" w:ascii="Times New Roman" w:hAnsi="Times New Roman" w:cs="Times New Roman"/>
          <w:lang w:val="zh-CN"/>
        </w:rPr>
      </w:pPr>
      <w:r>
        <w:rPr>
          <w:rFonts w:hint="default" w:ascii="Times New Roman" w:hAnsi="Times New Roman" w:cs="Times New Roman"/>
          <w:lang w:val="zh-CN"/>
        </w:rPr>
        <w:t>6、神经系统可出现中枢神经系统抑制，注意力和肌肉的工作能力、动作的准确性和协调性及反应速度的降低等。</w:t>
      </w:r>
    </w:p>
    <w:p>
      <w:pPr>
        <w:ind w:firstLine="560" w:firstLineChars="200"/>
        <w:rPr>
          <w:rFonts w:hint="default" w:ascii="Times New Roman" w:hAnsi="Times New Roman" w:cs="Times New Roman"/>
        </w:rPr>
      </w:pPr>
      <w:r>
        <w:rPr>
          <w:rFonts w:hint="default" w:ascii="Times New Roman" w:hAnsi="Times New Roman" w:cs="Times New Roman"/>
          <w:lang w:val="zh-CN"/>
        </w:rPr>
        <w:t>高温危害程度与气温、湿度、气流、辐射热和人体热耐受性有关。</w:t>
      </w:r>
      <w:r>
        <w:rPr>
          <w:rFonts w:hint="default" w:ascii="Times New Roman" w:hAnsi="Times New Roman" w:cs="Times New Roman"/>
        </w:rPr>
        <w:t>高温设备、设施，向外辐射一定的热量，夏季炎热及运行过程产生的热辐射可造成作业环境高温，导致作业人员易疲劳，甚至脱水中暑、休克等。</w:t>
      </w:r>
    </w:p>
    <w:p>
      <w:pPr>
        <w:pStyle w:val="2"/>
        <w:rPr>
          <w:rFonts w:hint="default" w:ascii="Times New Roman" w:hAnsi="Times New Roman" w:cs="Times New Roman"/>
        </w:rPr>
      </w:pPr>
      <w:r>
        <w:rPr>
          <w:rFonts w:hint="default" w:ascii="Times New Roman" w:hAnsi="Times New Roman" w:cs="Times New Roman"/>
        </w:rPr>
        <w:t>B.2.2.4低温</w:t>
      </w:r>
    </w:p>
    <w:p>
      <w:pPr>
        <w:ind w:firstLine="560" w:firstLineChars="200"/>
        <w:rPr>
          <w:rFonts w:hint="default" w:ascii="Times New Roman" w:hAnsi="Times New Roman" w:eastAsia="宋体" w:cs="Times New Roman"/>
          <w:lang w:val="en-US" w:eastAsia="zh-CN"/>
        </w:rPr>
      </w:pPr>
      <w:r>
        <w:rPr>
          <w:rFonts w:hint="default" w:ascii="Times New Roman" w:hAnsi="Times New Roman" w:cs="Times New Roman"/>
          <w:lang w:val="en-US" w:eastAsia="zh-CN"/>
        </w:rPr>
        <w:t>该</w:t>
      </w:r>
      <w:r>
        <w:rPr>
          <w:rFonts w:hint="eastAsia" w:cs="Times New Roman"/>
          <w:lang w:val="en-US" w:eastAsia="zh-CN"/>
        </w:rPr>
        <w:t>企业</w:t>
      </w:r>
      <w:r>
        <w:rPr>
          <w:rFonts w:hint="default" w:ascii="Times New Roman" w:hAnsi="Times New Roman" w:cs="Times New Roman"/>
        </w:rPr>
        <w:t>所在地极端最低气温达</w:t>
      </w:r>
      <w:r>
        <w:rPr>
          <w:rFonts w:hint="default" w:ascii="Times New Roman" w:hAnsi="Times New Roman" w:cs="Times New Roman"/>
          <w:lang w:eastAsia="zh-CN"/>
        </w:rPr>
        <w:t>-9.1℃</w:t>
      </w:r>
      <w:r>
        <w:rPr>
          <w:rFonts w:hint="default" w:ascii="Times New Roman" w:hAnsi="Times New Roman" w:cs="Times New Roman"/>
        </w:rPr>
        <w:t>以下，冬季</w:t>
      </w:r>
      <w:r>
        <w:rPr>
          <w:rFonts w:hint="default" w:ascii="Times New Roman" w:hAnsi="Times New Roman" w:cs="Times New Roman"/>
          <w:lang w:val="zh-CN"/>
        </w:rPr>
        <w:t>露天作业，如：露天物料搬运、露天设备检修等，作业环境及场所不良</w:t>
      </w:r>
      <w:r>
        <w:rPr>
          <w:rFonts w:hint="default" w:ascii="Times New Roman" w:hAnsi="Times New Roman" w:cs="Times New Roman"/>
        </w:rPr>
        <w:t>导致作业人员出现冻伤等</w:t>
      </w:r>
      <w:r>
        <w:rPr>
          <w:rFonts w:hint="default" w:ascii="Times New Roman" w:hAnsi="Times New Roman" w:cs="Times New Roman"/>
          <w:lang w:val="zh-CN"/>
        </w:rPr>
        <w:t>。</w:t>
      </w:r>
    </w:p>
    <w:p>
      <w:pPr>
        <w:pStyle w:val="4"/>
        <w:rPr>
          <w:rFonts w:hint="default" w:ascii="Times New Roman" w:hAnsi="Times New Roman" w:cs="Times New Roman"/>
        </w:rPr>
      </w:pPr>
      <w:bookmarkStart w:id="114" w:name="_Toc18771"/>
      <w:r>
        <w:rPr>
          <w:rFonts w:hint="default" w:ascii="Times New Roman" w:hAnsi="Times New Roman" w:cs="Times New Roman"/>
        </w:rPr>
        <w:t>B.3自然环境的影响因素</w:t>
      </w:r>
      <w:bookmarkEnd w:id="114"/>
    </w:p>
    <w:p>
      <w:pPr>
        <w:ind w:firstLine="560" w:firstLineChars="200"/>
        <w:rPr>
          <w:rFonts w:hint="default" w:ascii="Times New Roman" w:hAnsi="Times New Roman" w:cs="Times New Roman"/>
        </w:rPr>
      </w:pPr>
      <w:r>
        <w:rPr>
          <w:rFonts w:hint="default" w:ascii="Times New Roman" w:hAnsi="Times New Roman" w:cs="Times New Roman"/>
        </w:rPr>
        <w:t>1、雷击</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该</w:t>
      </w:r>
      <w:r>
        <w:rPr>
          <w:rFonts w:hint="eastAsia" w:cs="Times New Roman"/>
          <w:lang w:val="en-US" w:eastAsia="zh-CN"/>
        </w:rPr>
        <w:t>企业</w:t>
      </w:r>
      <w:r>
        <w:rPr>
          <w:rFonts w:hint="default" w:ascii="Times New Roman" w:hAnsi="Times New Roman" w:cs="Times New Roman"/>
        </w:rPr>
        <w:t>地处南方多雷地带，易受雷电袭击，雷击可能造成设备损坏和人员伤亡，也能引发可燃物质发生火灾、爆炸事故，同时雷击可使电气出现故障或损坏电气设备，造成全厂或局部停电，引发事故。</w:t>
      </w:r>
    </w:p>
    <w:p>
      <w:pPr>
        <w:ind w:firstLine="560" w:firstLineChars="200"/>
        <w:rPr>
          <w:rFonts w:hint="default" w:ascii="Times New Roman" w:hAnsi="Times New Roman" w:cs="Times New Roman"/>
        </w:rPr>
      </w:pPr>
      <w:r>
        <w:rPr>
          <w:rFonts w:hint="default" w:ascii="Times New Roman" w:hAnsi="Times New Roman" w:cs="Times New Roman"/>
        </w:rPr>
        <w:t>2、地质灾害</w:t>
      </w:r>
    </w:p>
    <w:p>
      <w:pPr>
        <w:ind w:firstLine="560" w:firstLineChars="200"/>
        <w:rPr>
          <w:rFonts w:hint="default" w:ascii="Times New Roman" w:hAnsi="Times New Roman" w:cs="Times New Roman"/>
        </w:rPr>
      </w:pPr>
      <w:r>
        <w:rPr>
          <w:rFonts w:hint="default" w:ascii="Times New Roman" w:hAnsi="Times New Roman" w:cs="Times New Roman"/>
        </w:rPr>
        <w:t>地质灾害主要包括不良地质结构，造成建筑、基础下沉等，影响安全运行。如发生地震灾害，则可能损坏设备，造成人员伤亡，甚至引发火灾、爆炸事故，造成严重事故。</w:t>
      </w:r>
    </w:p>
    <w:p>
      <w:pPr>
        <w:ind w:firstLine="560" w:firstLineChars="200"/>
        <w:rPr>
          <w:rFonts w:hint="default" w:ascii="Times New Roman" w:hAnsi="Times New Roman" w:cs="Times New Roman"/>
        </w:rPr>
      </w:pPr>
      <w:r>
        <w:rPr>
          <w:rFonts w:hint="default" w:ascii="Times New Roman" w:hAnsi="Times New Roman" w:cs="Times New Roman"/>
        </w:rPr>
        <w:t>3、冰冻</w:t>
      </w:r>
    </w:p>
    <w:p>
      <w:pPr>
        <w:ind w:firstLine="560" w:firstLineChars="200"/>
        <w:rPr>
          <w:rFonts w:hint="default" w:ascii="Times New Roman" w:hAnsi="Times New Roman" w:cs="Times New Roman"/>
        </w:rPr>
      </w:pPr>
      <w:r>
        <w:rPr>
          <w:rFonts w:hint="default" w:ascii="Times New Roman" w:hAnsi="Times New Roman" w:cs="Times New Roman"/>
        </w:rPr>
        <w:t>冰冻主要对水管等因冻结而破裂造成循环冷却水输送不畅，楼梯打滑造成人员摔跌等。</w:t>
      </w:r>
    </w:p>
    <w:p>
      <w:pPr>
        <w:ind w:firstLine="560" w:firstLineChars="200"/>
        <w:rPr>
          <w:rFonts w:hint="default" w:ascii="Times New Roman" w:hAnsi="Times New Roman" w:cs="Times New Roman"/>
        </w:rPr>
      </w:pPr>
      <w:bookmarkStart w:id="115" w:name="_Toc415470676"/>
      <w:bookmarkStart w:id="116" w:name="_Toc379554121"/>
      <w:r>
        <w:rPr>
          <w:rFonts w:hint="default" w:ascii="Times New Roman" w:hAnsi="Times New Roman" w:cs="Times New Roman"/>
        </w:rPr>
        <w:t>4、暴雨、洪水</w:t>
      </w:r>
      <w:bookmarkEnd w:id="115"/>
      <w:bookmarkEnd w:id="116"/>
    </w:p>
    <w:p>
      <w:pPr>
        <w:ind w:firstLine="560" w:firstLineChars="200"/>
        <w:rPr>
          <w:rFonts w:hint="default" w:ascii="Times New Roman" w:hAnsi="Times New Roman" w:cs="Times New Roman"/>
        </w:rPr>
      </w:pPr>
      <w:r>
        <w:rPr>
          <w:rFonts w:hint="default" w:ascii="Times New Roman" w:hAnsi="Times New Roman" w:cs="Times New Roman"/>
        </w:rPr>
        <w:t>厂址所在地夏季易发生暴雨，厂址标高高于四周的地面标高，厂内设置完善的排水设施，发生暴雨不会造成内涝，但极端情况下可能对厂内的生产装置造成影响。</w:t>
      </w:r>
    </w:p>
    <w:p>
      <w:pPr>
        <w:pStyle w:val="4"/>
        <w:rPr>
          <w:rFonts w:hint="default" w:ascii="Times New Roman" w:hAnsi="Times New Roman" w:cs="Times New Roman"/>
          <w:smallCaps/>
        </w:rPr>
      </w:pPr>
      <w:bookmarkStart w:id="117" w:name="_Toc29618"/>
      <w:bookmarkStart w:id="118" w:name="_Toc279"/>
      <w:bookmarkStart w:id="119" w:name="_Toc16468"/>
      <w:r>
        <w:rPr>
          <w:rFonts w:hint="default" w:ascii="Times New Roman" w:hAnsi="Times New Roman" w:cs="Times New Roman"/>
        </w:rPr>
        <w:t>B.4</w:t>
      </w:r>
      <w:bookmarkEnd w:id="117"/>
      <w:bookmarkEnd w:id="118"/>
      <w:r>
        <w:rPr>
          <w:rFonts w:hint="default" w:ascii="Times New Roman" w:hAnsi="Times New Roman" w:cs="Times New Roman"/>
          <w:smallCaps/>
        </w:rPr>
        <w:t>主要危险、有害因素种类与分布</w:t>
      </w:r>
      <w:bookmarkEnd w:id="119"/>
    </w:p>
    <w:p>
      <w:pPr>
        <w:pStyle w:val="5"/>
        <w:ind w:left="560"/>
        <w:rPr>
          <w:rFonts w:hint="default" w:ascii="Times New Roman" w:hAnsi="Times New Roman" w:cs="Times New Roman"/>
        </w:rPr>
      </w:pPr>
      <w:r>
        <w:rPr>
          <w:rFonts w:hint="default" w:ascii="Times New Roman" w:hAnsi="Times New Roman" w:cs="Times New Roman"/>
        </w:rPr>
        <w:t>B.4.1可能造成爆炸、火灾、中毒、灼烫事故的危险、有害因素的分布</w:t>
      </w:r>
    </w:p>
    <w:p>
      <w:pPr>
        <w:ind w:firstLine="560" w:firstLineChars="200"/>
        <w:rPr>
          <w:rFonts w:hint="default" w:ascii="Times New Roman" w:hAnsi="Times New Roman" w:cs="Times New Roman"/>
        </w:rPr>
      </w:pPr>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rPr>
        <w:t>可能造成中毒和窒息、灼烫</w:t>
      </w:r>
      <w:r>
        <w:rPr>
          <w:rFonts w:hint="default" w:ascii="Times New Roman" w:hAnsi="Times New Roman" w:cs="Times New Roman"/>
          <w:lang w:eastAsia="zh-CN"/>
        </w:rPr>
        <w:t>、</w:t>
      </w:r>
      <w:r>
        <w:rPr>
          <w:rFonts w:hint="default" w:ascii="Times New Roman" w:hAnsi="Times New Roman" w:cs="Times New Roman"/>
          <w:lang w:val="en-US" w:eastAsia="zh-CN"/>
        </w:rPr>
        <w:t>火灾</w:t>
      </w:r>
      <w:r>
        <w:rPr>
          <w:rFonts w:hint="default" w:ascii="Times New Roman" w:hAnsi="Times New Roman" w:cs="Times New Roman"/>
        </w:rPr>
        <w:t>事故的危险、有害因素的分布见表。</w:t>
      </w:r>
    </w:p>
    <w:p>
      <w:pPr>
        <w:rPr>
          <w:rFonts w:hint="default" w:ascii="Times New Roman" w:hAnsi="Times New Roman" w:cs="Times New Roman"/>
          <w:sz w:val="21"/>
          <w:szCs w:val="21"/>
        </w:rPr>
      </w:pPr>
      <w:r>
        <w:rPr>
          <w:rFonts w:hint="default" w:ascii="Times New Roman" w:hAnsi="Times New Roman" w:cs="Times New Roman"/>
          <w:sz w:val="21"/>
          <w:szCs w:val="21"/>
        </w:rPr>
        <w:br w:type="page"/>
      </w:r>
    </w:p>
    <w:p>
      <w:pPr>
        <w:jc w:val="center"/>
        <w:rPr>
          <w:rFonts w:hint="default" w:ascii="Times New Roman" w:hAnsi="Times New Roman" w:cs="Times New Roman"/>
          <w:sz w:val="21"/>
          <w:szCs w:val="21"/>
        </w:rPr>
      </w:pPr>
      <w:r>
        <w:rPr>
          <w:rFonts w:hint="default" w:ascii="Times New Roman" w:hAnsi="Times New Roman" w:cs="Times New Roman"/>
          <w:sz w:val="21"/>
          <w:szCs w:val="21"/>
        </w:rPr>
        <w:t>表B.4-1可能造成爆炸、火灾、中毒、灼烫事故的危险、有害因素的分布一览表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542"/>
        <w:gridCol w:w="7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4"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830"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危险有害因素</w:t>
            </w:r>
          </w:p>
        </w:tc>
        <w:tc>
          <w:tcPr>
            <w:tcW w:w="3906"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存在工段（序）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830"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中毒和窒息</w:t>
            </w:r>
          </w:p>
        </w:tc>
        <w:tc>
          <w:tcPr>
            <w:tcW w:w="3906" w:type="pct"/>
            <w:vAlign w:val="center"/>
          </w:tcPr>
          <w:p>
            <w:pPr>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101生产车间一</w:t>
            </w:r>
            <w:r>
              <w:rPr>
                <w:rFonts w:hint="default" w:ascii="Times New Roman" w:hAnsi="Times New Roman" w:cs="Times New Roman"/>
                <w:sz w:val="21"/>
                <w:szCs w:val="21"/>
                <w:lang w:eastAsia="zh-CN"/>
              </w:rPr>
              <w:t>、</w:t>
            </w:r>
            <w:r>
              <w:rPr>
                <w:rFonts w:hint="default" w:ascii="Times New Roman" w:hAnsi="Times New Roman" w:cs="Times New Roman"/>
                <w:sz w:val="21"/>
                <w:szCs w:val="21"/>
              </w:rPr>
              <w:t>102生产车间二</w:t>
            </w:r>
            <w:r>
              <w:rPr>
                <w:rFonts w:hint="default" w:ascii="Times New Roman" w:hAnsi="Times New Roman" w:cs="Times New Roman"/>
                <w:sz w:val="21"/>
                <w:szCs w:val="21"/>
                <w:lang w:eastAsia="zh-CN"/>
              </w:rPr>
              <w:t>、</w:t>
            </w:r>
            <w:r>
              <w:rPr>
                <w:rFonts w:hint="default" w:ascii="Times New Roman" w:hAnsi="Times New Roman" w:cs="Times New Roman"/>
                <w:sz w:val="21"/>
                <w:szCs w:val="21"/>
              </w:rPr>
              <w:t>103生产车间三</w:t>
            </w:r>
            <w:r>
              <w:rPr>
                <w:rFonts w:hint="default" w:ascii="Times New Roman" w:hAnsi="Times New Roman" w:cs="Times New Roman"/>
                <w:sz w:val="21"/>
                <w:szCs w:val="21"/>
                <w:lang w:eastAsia="zh-CN"/>
              </w:rPr>
              <w:t>、</w:t>
            </w:r>
            <w:r>
              <w:rPr>
                <w:rFonts w:hint="default" w:ascii="Times New Roman" w:hAnsi="Times New Roman" w:cs="Times New Roman"/>
                <w:sz w:val="21"/>
                <w:szCs w:val="21"/>
              </w:rPr>
              <w:t>104生产车间四</w:t>
            </w:r>
            <w:r>
              <w:rPr>
                <w:rFonts w:hint="default" w:ascii="Times New Roman" w:hAnsi="Times New Roman" w:cs="Times New Roman"/>
                <w:sz w:val="21"/>
                <w:szCs w:val="21"/>
                <w:lang w:eastAsia="zh-CN"/>
              </w:rPr>
              <w:t>、</w:t>
            </w:r>
            <w:r>
              <w:rPr>
                <w:rFonts w:hint="default" w:ascii="Times New Roman" w:hAnsi="Times New Roman" w:cs="Times New Roman"/>
                <w:sz w:val="21"/>
                <w:szCs w:val="21"/>
              </w:rPr>
              <w:t>105烘干车间</w:t>
            </w:r>
            <w:r>
              <w:rPr>
                <w:rFonts w:hint="default" w:ascii="Times New Roman" w:hAnsi="Times New Roman" w:cs="Times New Roman"/>
                <w:sz w:val="21"/>
                <w:szCs w:val="21"/>
                <w:lang w:val="en-US" w:eastAsia="zh-CN"/>
              </w:rPr>
              <w:t>等生产</w:t>
            </w:r>
            <w:r>
              <w:rPr>
                <w:rFonts w:hint="default" w:ascii="Times New Roman" w:hAnsi="Times New Roman" w:cs="Times New Roman"/>
                <w:sz w:val="21"/>
                <w:szCs w:val="21"/>
              </w:rPr>
              <w:t>场所；</w:t>
            </w:r>
            <w:r>
              <w:rPr>
                <w:rFonts w:hint="default" w:ascii="Times New Roman" w:hAnsi="Times New Roman" w:cs="Times New Roman"/>
                <w:sz w:val="21"/>
                <w:szCs w:val="21"/>
                <w:lang w:val="en-US" w:eastAsia="zh-CN"/>
              </w:rPr>
              <w:t>201原料罐区、202成品罐区、203烘干包装库、204成品仓库、205原料仓库、206成品仓库、207原料仓库、308半成品仓库</w:t>
            </w:r>
            <w:r>
              <w:rPr>
                <w:rFonts w:hint="default" w:ascii="Times New Roman" w:hAnsi="Times New Roman" w:cs="Times New Roman"/>
                <w:sz w:val="21"/>
                <w:szCs w:val="21"/>
              </w:rPr>
              <w:t>等</w:t>
            </w:r>
            <w:r>
              <w:rPr>
                <w:rFonts w:hint="default" w:ascii="Times New Roman" w:hAnsi="Times New Roman" w:cs="Times New Roman"/>
                <w:sz w:val="21"/>
                <w:szCs w:val="21"/>
                <w:lang w:val="en-US" w:eastAsia="zh-CN"/>
              </w:rPr>
              <w:t>储存</w:t>
            </w:r>
            <w:r>
              <w:rPr>
                <w:rFonts w:hint="default" w:ascii="Times New Roman" w:hAnsi="Times New Roman" w:cs="Times New Roman"/>
                <w:sz w:val="21"/>
                <w:szCs w:val="21"/>
              </w:rPr>
              <w:t>场所</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306污水处理池、311污水处理装置区等场所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830" w:type="pct"/>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灼烫</w:t>
            </w:r>
          </w:p>
        </w:tc>
        <w:tc>
          <w:tcPr>
            <w:tcW w:w="3906"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101生产车间一、102生产车间二、103生产车间三、104生产车间四、105烘干车间等生产场所；201原料罐区、202成品罐区、</w:t>
            </w:r>
            <w:r>
              <w:rPr>
                <w:rFonts w:hint="default" w:ascii="Times New Roman" w:hAnsi="Times New Roman" w:cs="Times New Roman"/>
                <w:sz w:val="21"/>
                <w:szCs w:val="21"/>
                <w:lang w:eastAsia="zh-CN"/>
              </w:rPr>
              <w:t>308半成品仓库</w:t>
            </w:r>
            <w:r>
              <w:rPr>
                <w:rFonts w:hint="default" w:ascii="Times New Roman" w:hAnsi="Times New Roman" w:cs="Times New Roman"/>
                <w:sz w:val="21"/>
                <w:szCs w:val="21"/>
              </w:rPr>
              <w:t>等储存场所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830" w:type="pct"/>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火灾</w:t>
            </w:r>
          </w:p>
        </w:tc>
        <w:tc>
          <w:tcPr>
            <w:tcW w:w="3906" w:type="pct"/>
            <w:vAlign w:val="center"/>
          </w:tcPr>
          <w:p>
            <w:pPr>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101生产车间一、102生产车间二、103生产车间三、104生产车间四、105烘干车间等生产场所；203烘干包装库、204成品仓库、205原料仓库、206成品仓库、207原料仓库</w:t>
            </w:r>
            <w:r>
              <w:rPr>
                <w:rFonts w:hint="default" w:ascii="Times New Roman" w:hAnsi="Times New Roman" w:cs="Times New Roman"/>
                <w:sz w:val="21"/>
                <w:szCs w:val="21"/>
                <w:lang w:eastAsia="zh-CN"/>
              </w:rPr>
              <w:t>、308半成品仓库</w:t>
            </w:r>
            <w:r>
              <w:rPr>
                <w:rFonts w:hint="default" w:ascii="Times New Roman" w:hAnsi="Times New Roman" w:cs="Times New Roman"/>
                <w:sz w:val="21"/>
                <w:szCs w:val="21"/>
              </w:rPr>
              <w:t>等储存场所</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301变配电间、305循环水泵房、307机修车间、401综合办公楼、402生产研发楼、405分析室等公用工程区</w:t>
            </w:r>
          </w:p>
        </w:tc>
      </w:tr>
    </w:tbl>
    <w:p>
      <w:pPr>
        <w:pStyle w:val="5"/>
        <w:ind w:left="560"/>
        <w:rPr>
          <w:rFonts w:hint="default" w:ascii="Times New Roman" w:hAnsi="Times New Roman" w:eastAsia="楷体" w:cs="Times New Roman"/>
          <w:szCs w:val="32"/>
        </w:rPr>
      </w:pPr>
      <w:r>
        <w:rPr>
          <w:rFonts w:hint="default" w:ascii="Times New Roman" w:hAnsi="Times New Roman" w:cs="Times New Roman"/>
        </w:rPr>
        <w:t>B.4.2可能造成作业人员伤亡的其他危险有害因素及其分布</w:t>
      </w:r>
    </w:p>
    <w:p>
      <w:pPr>
        <w:jc w:val="center"/>
        <w:rPr>
          <w:rFonts w:hint="default" w:ascii="Times New Roman" w:hAnsi="Times New Roman" w:cs="Times New Roman"/>
          <w:sz w:val="21"/>
          <w:szCs w:val="21"/>
        </w:rPr>
      </w:pPr>
      <w:r>
        <w:rPr>
          <w:rFonts w:hint="default" w:ascii="Times New Roman" w:hAnsi="Times New Roman" w:cs="Times New Roman"/>
          <w:sz w:val="21"/>
          <w:szCs w:val="21"/>
        </w:rPr>
        <w:t>表B.4-2可能造成其他事故的危险、有害因素的分布一览表</w:t>
      </w:r>
    </w:p>
    <w:tbl>
      <w:tblPr>
        <w:tblStyle w:val="25"/>
        <w:tblW w:w="48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1742"/>
        <w:gridCol w:w="6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3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97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危险有害因素</w:t>
            </w:r>
          </w:p>
        </w:tc>
        <w:tc>
          <w:tcPr>
            <w:tcW w:w="378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存在工段（序）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p>
        </w:tc>
        <w:tc>
          <w:tcPr>
            <w:tcW w:w="97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触电</w:t>
            </w:r>
          </w:p>
        </w:tc>
        <w:tc>
          <w:tcPr>
            <w:tcW w:w="378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作业现场的电机、变配电设备、照明灯具、电缆及变电所、配电所、机柜间等有电气设备设施的场所。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p>
        </w:tc>
        <w:tc>
          <w:tcPr>
            <w:tcW w:w="97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机械伤害</w:t>
            </w:r>
          </w:p>
        </w:tc>
        <w:tc>
          <w:tcPr>
            <w:tcW w:w="378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使用电动机械设备和皮带运输机，存在有机械设备与电动机的传动联结等传动设备的转动部件位置。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p>
        </w:tc>
        <w:tc>
          <w:tcPr>
            <w:tcW w:w="97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高处坠落</w:t>
            </w:r>
          </w:p>
        </w:tc>
        <w:tc>
          <w:tcPr>
            <w:tcW w:w="378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在高于地面或操作平台2m以上的设备、塔器、平台、框架、房顶、罐顶、杆上等作业场所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p>
        </w:tc>
        <w:tc>
          <w:tcPr>
            <w:tcW w:w="97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物体打击</w:t>
            </w:r>
          </w:p>
        </w:tc>
        <w:tc>
          <w:tcPr>
            <w:tcW w:w="378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在有高处作业的设备、塔器、平台、框架、房顶、罐顶、杆上等场所的下方。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p>
        </w:tc>
        <w:tc>
          <w:tcPr>
            <w:tcW w:w="97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车辆伤害</w:t>
            </w:r>
          </w:p>
        </w:tc>
        <w:tc>
          <w:tcPr>
            <w:tcW w:w="378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有车辆行驶的道路及罐区、仓库停车场等相关场所。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p>
        </w:tc>
        <w:tc>
          <w:tcPr>
            <w:tcW w:w="97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淹溺</w:t>
            </w:r>
          </w:p>
        </w:tc>
        <w:tc>
          <w:tcPr>
            <w:tcW w:w="378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循环水池、污水处理池、事故应急池</w:t>
            </w:r>
            <w:r>
              <w:rPr>
                <w:rFonts w:hint="default" w:ascii="Times New Roman" w:hAnsi="Times New Roman" w:cs="Times New Roman"/>
                <w:sz w:val="21"/>
                <w:szCs w:val="21"/>
              </w:rPr>
              <w:t>等场所。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p>
        </w:tc>
        <w:tc>
          <w:tcPr>
            <w:tcW w:w="97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容器爆炸</w:t>
            </w:r>
          </w:p>
        </w:tc>
        <w:tc>
          <w:tcPr>
            <w:tcW w:w="378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空气储罐设置的</w:t>
            </w:r>
            <w:r>
              <w:rPr>
                <w:rFonts w:hint="default" w:ascii="Times New Roman" w:hAnsi="Times New Roman" w:cs="Times New Roman"/>
                <w:sz w:val="21"/>
                <w:szCs w:val="21"/>
              </w:rPr>
              <w:t>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firstLine="0"/>
              <w:jc w:val="center"/>
              <w:textAlignment w:val="auto"/>
              <w:rPr>
                <w:rFonts w:hint="default" w:ascii="Times New Roman" w:hAnsi="Times New Roman" w:cs="Times New Roman"/>
                <w:sz w:val="21"/>
                <w:szCs w:val="21"/>
              </w:rPr>
            </w:pPr>
          </w:p>
        </w:tc>
        <w:tc>
          <w:tcPr>
            <w:tcW w:w="97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毒物</w:t>
            </w:r>
          </w:p>
        </w:tc>
        <w:tc>
          <w:tcPr>
            <w:tcW w:w="378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101生产车间一、102生产车间二、103生产车间三、104生产车间四、105烘干车间等生产场所；201原料罐区、202成品罐区、203烘干包装库、204成品仓库、205原料仓库、206成品仓库、207原料仓库、308半成品仓库等储存场所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19"/>
              </w:numPr>
              <w:spacing w:line="240" w:lineRule="auto"/>
              <w:ind w:left="0" w:firstLine="0"/>
              <w:jc w:val="left"/>
              <w:rPr>
                <w:rFonts w:hint="default" w:ascii="Times New Roman" w:hAnsi="Times New Roman" w:cs="Times New Roman"/>
                <w:sz w:val="21"/>
                <w:szCs w:val="21"/>
              </w:rPr>
            </w:pPr>
          </w:p>
        </w:tc>
        <w:tc>
          <w:tcPr>
            <w:tcW w:w="971"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粉尘</w:t>
            </w:r>
          </w:p>
        </w:tc>
        <w:tc>
          <w:tcPr>
            <w:tcW w:w="3788"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105烘干车间等物料</w:t>
            </w:r>
            <w:r>
              <w:rPr>
                <w:rFonts w:hint="default" w:ascii="Times New Roman" w:hAnsi="Times New Roman" w:cs="Times New Roman"/>
                <w:sz w:val="21"/>
                <w:szCs w:val="21"/>
                <w:lang w:val="en-US" w:eastAsia="zh-CN"/>
              </w:rPr>
              <w:t>烘干</w:t>
            </w:r>
            <w:r>
              <w:rPr>
                <w:rFonts w:hint="default" w:ascii="Times New Roman" w:hAnsi="Times New Roman" w:cs="Times New Roman"/>
                <w:sz w:val="21"/>
                <w:szCs w:val="21"/>
              </w:rPr>
              <w:t>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19"/>
              </w:numPr>
              <w:spacing w:line="240" w:lineRule="auto"/>
              <w:ind w:left="0" w:firstLine="0"/>
              <w:jc w:val="left"/>
              <w:rPr>
                <w:rFonts w:hint="default" w:ascii="Times New Roman" w:hAnsi="Times New Roman" w:cs="Times New Roman"/>
                <w:sz w:val="21"/>
                <w:szCs w:val="21"/>
              </w:rPr>
            </w:pPr>
          </w:p>
        </w:tc>
        <w:tc>
          <w:tcPr>
            <w:tcW w:w="971"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噪声与振动</w:t>
            </w:r>
          </w:p>
        </w:tc>
        <w:tc>
          <w:tcPr>
            <w:tcW w:w="3788"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有电动机械设备，如风机、各种泵类、各种车辆等及各种流体放等作业场所。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 w:type="pct"/>
            <w:vAlign w:val="center"/>
          </w:tcPr>
          <w:p>
            <w:pPr>
              <w:numPr>
                <w:ilvl w:val="0"/>
                <w:numId w:val="19"/>
              </w:numPr>
              <w:spacing w:line="240" w:lineRule="auto"/>
              <w:ind w:left="0" w:firstLine="0"/>
              <w:jc w:val="left"/>
              <w:rPr>
                <w:rFonts w:hint="default" w:ascii="Times New Roman" w:hAnsi="Times New Roman" w:cs="Times New Roman"/>
                <w:sz w:val="21"/>
                <w:szCs w:val="21"/>
              </w:rPr>
            </w:pPr>
          </w:p>
        </w:tc>
        <w:tc>
          <w:tcPr>
            <w:tcW w:w="971"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高（低）温</w:t>
            </w:r>
          </w:p>
        </w:tc>
        <w:tc>
          <w:tcPr>
            <w:tcW w:w="3788" w:type="pct"/>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存在高温物料及换热介质的装置附近作业或夏（冬）季长时间的室外作业。</w:t>
            </w:r>
          </w:p>
        </w:tc>
      </w:tr>
    </w:tbl>
    <w:p>
      <w:pPr>
        <w:pStyle w:val="4"/>
        <w:rPr>
          <w:rFonts w:hint="default" w:ascii="Times New Roman" w:hAnsi="Times New Roman" w:cs="Times New Roman"/>
        </w:rPr>
      </w:pPr>
      <w:bookmarkStart w:id="120" w:name="_Toc25115"/>
      <w:bookmarkStart w:id="121" w:name="_Toc9218"/>
      <w:bookmarkStart w:id="122" w:name="_Toc18553"/>
      <w:r>
        <w:rPr>
          <w:rFonts w:hint="default" w:ascii="Times New Roman" w:hAnsi="Times New Roman" w:cs="Times New Roman"/>
        </w:rPr>
        <w:t>B.5重大危险源辨识</w:t>
      </w:r>
      <w:bookmarkEnd w:id="120"/>
      <w:bookmarkEnd w:id="121"/>
      <w:bookmarkEnd w:id="122"/>
    </w:p>
    <w:p>
      <w:pPr>
        <w:ind w:firstLine="560" w:firstLineChars="200"/>
        <w:rPr>
          <w:rFonts w:hint="default" w:ascii="Times New Roman" w:hAnsi="Times New Roman" w:cs="Times New Roman"/>
        </w:rPr>
      </w:pPr>
      <w:r>
        <w:rPr>
          <w:rFonts w:hint="default" w:ascii="Times New Roman" w:hAnsi="Times New Roman" w:cs="Times New Roman"/>
        </w:rPr>
        <w:t>1）辨识标准</w:t>
      </w:r>
    </w:p>
    <w:p>
      <w:pPr>
        <w:ind w:firstLine="560" w:firstLineChars="200"/>
        <w:rPr>
          <w:rFonts w:hint="default" w:ascii="Times New Roman" w:hAnsi="Times New Roman" w:cs="Times New Roman"/>
        </w:rPr>
      </w:pPr>
      <w:r>
        <w:rPr>
          <w:rFonts w:hint="default" w:ascii="Times New Roman" w:hAnsi="Times New Roman" w:cs="Times New Roman"/>
        </w:rPr>
        <w:t>危险化学品重大危险源是指长期地或临时地生产、加工、使用或储存危险化学品，且危险化学品的数量等于或超过临界量的单元。</w:t>
      </w:r>
    </w:p>
    <w:p>
      <w:pPr>
        <w:ind w:firstLine="560" w:firstLineChars="200"/>
        <w:rPr>
          <w:rFonts w:hint="default" w:ascii="Times New Roman" w:hAnsi="Times New Roman" w:cs="Times New Roman"/>
        </w:rPr>
      </w:pPr>
      <w:r>
        <w:rPr>
          <w:rFonts w:hint="default" w:ascii="Times New Roman" w:hAnsi="Times New Roman" w:cs="Times New Roman"/>
        </w:rPr>
        <w:t>《危险化学品重大危险源辨识》GB18218-2018规定：单元是指涉及危险化学品的生产、储存装置、设施或场所，分为生产单元和储存单元。</w:t>
      </w:r>
    </w:p>
    <w:p>
      <w:pPr>
        <w:ind w:firstLine="560" w:firstLineChars="200"/>
        <w:rPr>
          <w:rFonts w:hint="default" w:ascii="Times New Roman" w:hAnsi="Times New Roman" w:cs="Times New Roman"/>
        </w:rPr>
      </w:pPr>
      <w:r>
        <w:rPr>
          <w:rFonts w:hint="default" w:ascii="Times New Roman" w:hAnsi="Times New Roman" w:cs="Times New Roman"/>
        </w:rPr>
        <w:t>生产单元：危险化学品的生产、加工及使用等的装置及设施，当装置及设施之间有切断阀时，以切断阀作为分隔界限划分为独立的单元。</w:t>
      </w:r>
    </w:p>
    <w:p>
      <w:pPr>
        <w:ind w:firstLine="560" w:firstLineChars="200"/>
        <w:rPr>
          <w:rFonts w:hint="default" w:ascii="Times New Roman" w:hAnsi="Times New Roman" w:cs="Times New Roman"/>
        </w:rPr>
      </w:pPr>
      <w:r>
        <w:rPr>
          <w:rFonts w:hint="default" w:ascii="Times New Roman" w:hAnsi="Times New Roman" w:cs="Times New Roman"/>
        </w:rPr>
        <w:t>储存单元：用于储存危险化学品的储罐或仓库组成的相对独立的区域，储罐区以罐区防火堤为界限划分为独立的单元，仓库以独立库房(独立建筑物〉为界限划分为独立的单元。</w:t>
      </w:r>
    </w:p>
    <w:p>
      <w:pPr>
        <w:ind w:firstLine="560" w:firstLineChars="200"/>
        <w:rPr>
          <w:rFonts w:hint="default" w:ascii="Times New Roman" w:hAnsi="Times New Roman" w:cs="Times New Roman"/>
        </w:rPr>
      </w:pPr>
      <w:r>
        <w:rPr>
          <w:rFonts w:hint="default" w:ascii="Times New Roman" w:hAnsi="Times New Roman" w:cs="Times New Roman"/>
        </w:rPr>
        <w:t>根据国家标准《危险化学品重大危险源辨识》GB18218-2018的规定对项目的危险化学品生产单元、储存单元进行重大危险源辨识。</w:t>
      </w:r>
    </w:p>
    <w:p>
      <w:pPr>
        <w:ind w:firstLine="560" w:firstLineChars="200"/>
        <w:rPr>
          <w:rFonts w:hint="default" w:ascii="Times New Roman" w:hAnsi="Times New Roman" w:cs="Times New Roman"/>
        </w:rPr>
      </w:pPr>
      <w:r>
        <w:rPr>
          <w:rFonts w:hint="default" w:ascii="Times New Roman" w:hAnsi="Times New Roman" w:cs="Times New Roman"/>
        </w:rPr>
        <w:t>危险化学品重大危险源的辨识依据是危险化学品的危险特性及其数量，具体见表1（略）和表2（略）。</w:t>
      </w:r>
    </w:p>
    <w:p>
      <w:pPr>
        <w:ind w:firstLine="560" w:firstLineChars="200"/>
        <w:rPr>
          <w:rFonts w:hint="default" w:ascii="Times New Roman" w:hAnsi="Times New Roman" w:cs="Times New Roman"/>
        </w:rPr>
      </w:pPr>
      <w:r>
        <w:rPr>
          <w:rFonts w:hint="default" w:ascii="Times New Roman" w:hAnsi="Times New Roman" w:cs="Times New Roman"/>
        </w:rPr>
        <w:t>危险化学品临界量的确定方法如下：</w:t>
      </w:r>
    </w:p>
    <w:p>
      <w:pPr>
        <w:ind w:firstLine="560" w:firstLineChars="200"/>
        <w:rPr>
          <w:rFonts w:hint="default" w:ascii="Times New Roman" w:hAnsi="Times New Roman" w:cs="Times New Roman"/>
        </w:rPr>
      </w:pPr>
      <w:r>
        <w:rPr>
          <w:rFonts w:hint="default" w:ascii="Times New Roman" w:hAnsi="Times New Roman" w:cs="Times New Roman"/>
        </w:rPr>
        <w:t>（1）在表1范围内的危险化学品，其临界量按表1确定；</w:t>
      </w:r>
    </w:p>
    <w:p>
      <w:pPr>
        <w:ind w:firstLine="560" w:firstLineChars="200"/>
        <w:rPr>
          <w:rFonts w:hint="default" w:ascii="Times New Roman" w:hAnsi="Times New Roman" w:cs="Times New Roman"/>
        </w:rPr>
      </w:pPr>
      <w:r>
        <w:rPr>
          <w:rFonts w:hint="default" w:ascii="Times New Roman" w:hAnsi="Times New Roman" w:cs="Times New Roman"/>
        </w:rPr>
        <w:t>（2）未在表2范围内的危险化学品，依据其危险性，按表2确定临界量；若一种危险化学品具有多种危险性，按其中最低的临界量确定。</w:t>
      </w:r>
    </w:p>
    <w:p>
      <w:pPr>
        <w:ind w:firstLine="560" w:firstLineChars="200"/>
        <w:rPr>
          <w:rFonts w:hint="default" w:ascii="Times New Roman" w:hAnsi="Times New Roman" w:cs="Times New Roman"/>
        </w:rPr>
      </w:pPr>
      <w:r>
        <w:rPr>
          <w:rFonts w:hint="default" w:ascii="Times New Roman" w:hAnsi="Times New Roman" w:cs="Times New Roman"/>
        </w:rPr>
        <w:t>2）重大危险源的辨识指标</w:t>
      </w:r>
    </w:p>
    <w:p>
      <w:pPr>
        <w:ind w:firstLine="560" w:firstLineChars="200"/>
        <w:rPr>
          <w:rFonts w:hint="default" w:ascii="Times New Roman" w:hAnsi="Times New Roman" w:cs="Times New Roman"/>
        </w:rPr>
      </w:pPr>
      <w:r>
        <w:rPr>
          <w:rFonts w:hint="default" w:ascii="Times New Roman" w:hAnsi="Times New Roman" w:cs="Times New Roman"/>
        </w:rPr>
        <w:t>单元内存在危险化学品的数量等于或超过表1、表2规定的临界量，即被定为重大危险源。单元内存在的危险化学品的数量根据处理危险化学品种类的多少区分为以下两种情况：</w:t>
      </w:r>
    </w:p>
    <w:p>
      <w:pPr>
        <w:ind w:firstLine="560" w:firstLineChars="200"/>
        <w:rPr>
          <w:rFonts w:hint="default" w:ascii="Times New Roman" w:hAnsi="Times New Roman" w:cs="Times New Roman"/>
        </w:rPr>
      </w:pPr>
      <w:r>
        <w:rPr>
          <w:rFonts w:hint="default" w:ascii="Times New Roman" w:hAnsi="Times New Roman" w:cs="Times New Roman"/>
        </w:rPr>
        <w:t>单元内存在的危险化学品为单一品种，则该危险化学品的数量即为单元内危险化学品的总量，若等于或超过相应的临界量，则定为重大危险源。</w:t>
      </w:r>
    </w:p>
    <w:p>
      <w:pPr>
        <w:ind w:firstLine="560" w:firstLineChars="200"/>
        <w:rPr>
          <w:rFonts w:hint="default" w:ascii="Times New Roman" w:hAnsi="Times New Roman" w:cs="Times New Roman"/>
        </w:rPr>
      </w:pPr>
      <w:r>
        <w:rPr>
          <w:rFonts w:hint="default" w:ascii="Times New Roman" w:hAnsi="Times New Roman" w:cs="Times New Roman"/>
        </w:rPr>
        <w:t>单元内存在的危险化学品为多品种时，则按式（1）计算，若满足式（1），则定为重大危险源：</w:t>
      </w:r>
    </w:p>
    <w:p>
      <w:pPr>
        <w:autoSpaceDE w:val="0"/>
        <w:autoSpaceDN w:val="0"/>
        <w:adjustRightInd w:val="0"/>
        <w:ind w:firstLine="1120" w:firstLineChars="400"/>
        <w:rPr>
          <w:rFonts w:hint="default" w:ascii="Times New Roman" w:hAnsi="Times New Roman" w:cs="Times New Roman"/>
          <w:kern w:val="0"/>
        </w:rPr>
      </w:pPr>
      <w:r>
        <w:rPr>
          <w:rFonts w:hint="default" w:ascii="Times New Roman" w:hAnsi="Times New Roman" w:cs="Times New Roman"/>
          <w:kern w:val="0"/>
        </w:rPr>
        <w:t>q</w:t>
      </w:r>
      <w:r>
        <w:rPr>
          <w:rFonts w:hint="default" w:ascii="Times New Roman" w:hAnsi="Times New Roman" w:cs="Times New Roman"/>
          <w:kern w:val="0"/>
          <w:vertAlign w:val="subscript"/>
        </w:rPr>
        <w:t>1</w:t>
      </w:r>
      <w:r>
        <w:rPr>
          <w:rFonts w:hint="default" w:ascii="Times New Roman" w:hAnsi="Times New Roman" w:cs="Times New Roman"/>
          <w:kern w:val="0"/>
        </w:rPr>
        <w:t>/Q</w:t>
      </w:r>
      <w:r>
        <w:rPr>
          <w:rFonts w:hint="default" w:ascii="Times New Roman" w:hAnsi="Times New Roman" w:cs="Times New Roman"/>
          <w:kern w:val="0"/>
          <w:vertAlign w:val="subscript"/>
        </w:rPr>
        <w:t>1</w:t>
      </w:r>
      <w:r>
        <w:rPr>
          <w:rFonts w:hint="default" w:ascii="Times New Roman" w:hAnsi="Times New Roman" w:cs="Times New Roman"/>
          <w:kern w:val="0"/>
        </w:rPr>
        <w:t>+q</w:t>
      </w:r>
      <w:r>
        <w:rPr>
          <w:rFonts w:hint="default" w:ascii="Times New Roman" w:hAnsi="Times New Roman" w:cs="Times New Roman"/>
          <w:kern w:val="0"/>
          <w:vertAlign w:val="subscript"/>
        </w:rPr>
        <w:t>2</w:t>
      </w:r>
      <w:r>
        <w:rPr>
          <w:rFonts w:hint="default" w:ascii="Times New Roman" w:hAnsi="Times New Roman" w:cs="Times New Roman"/>
          <w:kern w:val="0"/>
        </w:rPr>
        <w:t>/Q</w:t>
      </w:r>
      <w:r>
        <w:rPr>
          <w:rFonts w:hint="default" w:ascii="Times New Roman" w:hAnsi="Times New Roman" w:cs="Times New Roman"/>
          <w:kern w:val="0"/>
          <w:vertAlign w:val="subscript"/>
        </w:rPr>
        <w:t>2</w:t>
      </w:r>
      <w:r>
        <w:rPr>
          <w:rFonts w:hint="default" w:ascii="Times New Roman" w:hAnsi="Times New Roman" w:cs="Times New Roman"/>
          <w:kern w:val="0"/>
        </w:rPr>
        <w:t>+…+q</w:t>
      </w:r>
      <w:r>
        <w:rPr>
          <w:rFonts w:hint="default" w:ascii="Times New Roman" w:hAnsi="Times New Roman" w:cs="Times New Roman"/>
          <w:kern w:val="0"/>
          <w:vertAlign w:val="subscript"/>
        </w:rPr>
        <w:t>n</w:t>
      </w:r>
      <w:r>
        <w:rPr>
          <w:rFonts w:hint="default" w:ascii="Times New Roman" w:hAnsi="Times New Roman" w:cs="Times New Roman"/>
          <w:kern w:val="0"/>
        </w:rPr>
        <w:t>/Q</w:t>
      </w:r>
      <w:r>
        <w:rPr>
          <w:rFonts w:hint="default" w:ascii="Times New Roman" w:hAnsi="Times New Roman" w:cs="Times New Roman"/>
          <w:kern w:val="0"/>
          <w:vertAlign w:val="subscript"/>
        </w:rPr>
        <w:t>n</w:t>
      </w:r>
      <w:r>
        <w:rPr>
          <w:rFonts w:hint="default" w:ascii="Times New Roman" w:hAnsi="Times New Roman" w:cs="Times New Roman"/>
          <w:kern w:val="0"/>
        </w:rPr>
        <w:t>≧1………………………（1）</w:t>
      </w:r>
    </w:p>
    <w:p>
      <w:pPr>
        <w:autoSpaceDE w:val="0"/>
        <w:autoSpaceDN w:val="0"/>
        <w:adjustRightInd w:val="0"/>
        <w:ind w:firstLine="560" w:firstLineChars="200"/>
        <w:rPr>
          <w:rFonts w:hint="default" w:ascii="Times New Roman" w:hAnsi="Times New Roman" w:cs="Times New Roman"/>
          <w:kern w:val="0"/>
        </w:rPr>
      </w:pPr>
      <w:r>
        <w:rPr>
          <w:rFonts w:hint="default" w:ascii="Times New Roman" w:hAnsi="Times New Roman" w:cs="Times New Roman"/>
          <w:kern w:val="0"/>
        </w:rPr>
        <w:t>式中：</w:t>
      </w:r>
    </w:p>
    <w:p>
      <w:pPr>
        <w:autoSpaceDE w:val="0"/>
        <w:autoSpaceDN w:val="0"/>
        <w:adjustRightInd w:val="0"/>
        <w:ind w:firstLine="560" w:firstLineChars="200"/>
        <w:rPr>
          <w:rFonts w:hint="default" w:ascii="Times New Roman" w:hAnsi="Times New Roman" w:cs="Times New Roman"/>
          <w:kern w:val="0"/>
        </w:rPr>
      </w:pPr>
      <w:r>
        <w:rPr>
          <w:rFonts w:hint="default" w:ascii="Times New Roman" w:hAnsi="Times New Roman" w:cs="Times New Roman"/>
          <w:kern w:val="0"/>
        </w:rPr>
        <w:t>q</w:t>
      </w:r>
      <w:r>
        <w:rPr>
          <w:rFonts w:hint="default" w:ascii="Times New Roman" w:hAnsi="Times New Roman" w:cs="Times New Roman"/>
          <w:kern w:val="0"/>
          <w:vertAlign w:val="subscript"/>
        </w:rPr>
        <w:t>1</w:t>
      </w:r>
      <w:r>
        <w:rPr>
          <w:rFonts w:hint="default" w:ascii="Times New Roman" w:hAnsi="Times New Roman" w:cs="Times New Roman"/>
          <w:kern w:val="0"/>
        </w:rPr>
        <w:t>，q</w:t>
      </w:r>
      <w:r>
        <w:rPr>
          <w:rFonts w:hint="default" w:ascii="Times New Roman" w:hAnsi="Times New Roman" w:cs="Times New Roman"/>
          <w:kern w:val="0"/>
          <w:vertAlign w:val="subscript"/>
        </w:rPr>
        <w:t>2</w:t>
      </w:r>
      <w:r>
        <w:rPr>
          <w:rFonts w:hint="default" w:ascii="Times New Roman" w:hAnsi="Times New Roman" w:cs="Times New Roman"/>
          <w:kern w:val="0"/>
        </w:rPr>
        <w:t>，…，q</w:t>
      </w:r>
      <w:r>
        <w:rPr>
          <w:rFonts w:hint="default" w:ascii="Times New Roman" w:hAnsi="Times New Roman" w:cs="Times New Roman"/>
          <w:kern w:val="0"/>
          <w:vertAlign w:val="subscript"/>
        </w:rPr>
        <w:t>n</w:t>
      </w:r>
      <w:r>
        <w:rPr>
          <w:rFonts w:hint="default" w:ascii="Times New Roman" w:hAnsi="Times New Roman" w:cs="Times New Roman"/>
          <w:kern w:val="0"/>
        </w:rPr>
        <w:t>—每种危险化学品实际存在量，单位为吨（t）；</w:t>
      </w:r>
    </w:p>
    <w:p>
      <w:pPr>
        <w:autoSpaceDE w:val="0"/>
        <w:autoSpaceDN w:val="0"/>
        <w:adjustRightInd w:val="0"/>
        <w:ind w:firstLine="496" w:firstLineChars="200"/>
        <w:rPr>
          <w:rFonts w:hint="default" w:ascii="Times New Roman" w:hAnsi="Times New Roman" w:cs="Times New Roman"/>
          <w:spacing w:val="-16"/>
          <w:kern w:val="0"/>
        </w:rPr>
      </w:pPr>
      <w:r>
        <w:rPr>
          <w:rFonts w:hint="default" w:ascii="Times New Roman" w:hAnsi="Times New Roman" w:cs="Times New Roman"/>
          <w:spacing w:val="-16"/>
          <w:kern w:val="0"/>
        </w:rPr>
        <w:t>Q</w:t>
      </w:r>
      <w:r>
        <w:rPr>
          <w:rFonts w:hint="default" w:ascii="Times New Roman" w:hAnsi="Times New Roman" w:cs="Times New Roman"/>
          <w:spacing w:val="-16"/>
          <w:kern w:val="0"/>
          <w:vertAlign w:val="subscript"/>
        </w:rPr>
        <w:t>1</w:t>
      </w:r>
      <w:r>
        <w:rPr>
          <w:rFonts w:hint="default" w:ascii="Times New Roman" w:hAnsi="Times New Roman" w:cs="Times New Roman"/>
          <w:spacing w:val="-16"/>
          <w:kern w:val="0"/>
        </w:rPr>
        <w:t>，Q</w:t>
      </w:r>
      <w:r>
        <w:rPr>
          <w:rFonts w:hint="default" w:ascii="Times New Roman" w:hAnsi="Times New Roman" w:cs="Times New Roman"/>
          <w:spacing w:val="-16"/>
          <w:kern w:val="0"/>
          <w:vertAlign w:val="subscript"/>
        </w:rPr>
        <w:t>2</w:t>
      </w:r>
      <w:r>
        <w:rPr>
          <w:rFonts w:hint="default" w:ascii="Times New Roman" w:hAnsi="Times New Roman" w:cs="Times New Roman"/>
          <w:spacing w:val="-16"/>
          <w:kern w:val="0"/>
        </w:rPr>
        <w:t>，…，Q</w:t>
      </w:r>
      <w:r>
        <w:rPr>
          <w:rFonts w:hint="default" w:ascii="Times New Roman" w:hAnsi="Times New Roman" w:cs="Times New Roman"/>
          <w:spacing w:val="-16"/>
          <w:kern w:val="0"/>
          <w:vertAlign w:val="subscript"/>
        </w:rPr>
        <w:t>n</w:t>
      </w:r>
      <w:r>
        <w:rPr>
          <w:rFonts w:hint="default" w:ascii="Times New Roman" w:hAnsi="Times New Roman" w:cs="Times New Roman"/>
          <w:spacing w:val="-16"/>
          <w:kern w:val="0"/>
        </w:rPr>
        <w:t>—与各危险化学品相对应的临界量，单位为吨（t）。</w:t>
      </w:r>
    </w:p>
    <w:p>
      <w:pPr>
        <w:snapToGrid w:val="0"/>
        <w:spacing w:line="580" w:lineRule="exact"/>
        <w:ind w:firstLine="560" w:firstLineChars="200"/>
        <w:rPr>
          <w:rFonts w:hint="default" w:ascii="Times New Roman" w:hAnsi="Times New Roman" w:cs="Times New Roman"/>
        </w:rPr>
      </w:pPr>
      <w:r>
        <w:rPr>
          <w:rFonts w:hint="default" w:ascii="Times New Roman" w:hAnsi="Times New Roman" w:cs="Times New Roman"/>
        </w:rPr>
        <w:t>分级标准：</w:t>
      </w:r>
    </w:p>
    <w:p>
      <w:pPr>
        <w:snapToGrid w:val="0"/>
        <w:spacing w:line="580" w:lineRule="exact"/>
        <w:ind w:firstLine="560" w:firstLineChars="200"/>
        <w:rPr>
          <w:rFonts w:hint="default" w:ascii="Times New Roman" w:hAnsi="Times New Roman" w:cs="Times New Roman"/>
        </w:rPr>
      </w:pPr>
      <w:r>
        <w:rPr>
          <w:rFonts w:hint="default" w:ascii="Times New Roman" w:hAnsi="Times New Roman" w:cs="Times New Roman"/>
        </w:rPr>
        <w:t>根据计算出来的R值，按表B.5-1确定危险化学品重大危险源的级别。</w:t>
      </w:r>
    </w:p>
    <w:p>
      <w:pPr>
        <w:snapToGrid w:val="0"/>
        <w:spacing w:line="580" w:lineRule="exact"/>
        <w:jc w:val="center"/>
        <w:rPr>
          <w:rFonts w:hint="default" w:ascii="Times New Roman" w:hAnsi="Times New Roman" w:cs="Times New Roman"/>
        </w:rPr>
      </w:pPr>
      <w:r>
        <w:rPr>
          <w:rFonts w:hint="default" w:ascii="Times New Roman" w:hAnsi="Times New Roman" w:cs="Times New Roman"/>
        </w:rPr>
        <w:t>表B.5-1危险化学品重大危险源级别和R值的对应关系</w:t>
      </w:r>
    </w:p>
    <w:tbl>
      <w:tblPr>
        <w:tblStyle w:val="25"/>
        <w:tblW w:w="9288"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4749"/>
        <w:gridCol w:w="4539"/>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9" w:hRule="atLeast"/>
          <w:jc w:val="center"/>
        </w:trPr>
        <w:tc>
          <w:tcPr>
            <w:tcW w:w="4749" w:type="dxa"/>
            <w:tcBorders>
              <w:top w:val="single" w:color="auto" w:sz="2" w:space="0"/>
            </w:tcBorders>
            <w:vAlign w:val="center"/>
          </w:tcPr>
          <w:p>
            <w:pPr>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危险化学品重大危险源级别</w:t>
            </w:r>
          </w:p>
        </w:tc>
        <w:tc>
          <w:tcPr>
            <w:tcW w:w="4539" w:type="dxa"/>
            <w:tcBorders>
              <w:top w:val="single" w:color="auto" w:sz="2" w:space="0"/>
            </w:tcBorders>
            <w:vAlign w:val="center"/>
          </w:tcPr>
          <w:p>
            <w:pPr>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R值</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4749" w:type="dxa"/>
            <w:vAlign w:val="center"/>
          </w:tcPr>
          <w:p>
            <w:pPr>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一级</w:t>
            </w:r>
          </w:p>
        </w:tc>
        <w:tc>
          <w:tcPr>
            <w:tcW w:w="4539" w:type="dxa"/>
            <w:vAlign w:val="center"/>
          </w:tcPr>
          <w:p>
            <w:pPr>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R≥100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4749" w:type="dxa"/>
            <w:vAlign w:val="center"/>
          </w:tcPr>
          <w:p>
            <w:pPr>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二级</w:t>
            </w:r>
          </w:p>
        </w:tc>
        <w:tc>
          <w:tcPr>
            <w:tcW w:w="4539" w:type="dxa"/>
            <w:vAlign w:val="center"/>
          </w:tcPr>
          <w:p>
            <w:pPr>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100&gt;R≥50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4749" w:type="dxa"/>
            <w:vAlign w:val="center"/>
          </w:tcPr>
          <w:p>
            <w:pPr>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三级</w:t>
            </w:r>
          </w:p>
        </w:tc>
        <w:tc>
          <w:tcPr>
            <w:tcW w:w="4539" w:type="dxa"/>
            <w:vAlign w:val="center"/>
          </w:tcPr>
          <w:p>
            <w:pPr>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50&gt;R≥10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91" w:hRule="atLeast"/>
          <w:jc w:val="center"/>
        </w:trPr>
        <w:tc>
          <w:tcPr>
            <w:tcW w:w="4749" w:type="dxa"/>
            <w:tcBorders>
              <w:bottom w:val="single" w:color="auto" w:sz="2" w:space="0"/>
            </w:tcBorders>
            <w:vAlign w:val="center"/>
          </w:tcPr>
          <w:p>
            <w:pPr>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四级</w:t>
            </w:r>
          </w:p>
        </w:tc>
        <w:tc>
          <w:tcPr>
            <w:tcW w:w="4539" w:type="dxa"/>
            <w:tcBorders>
              <w:bottom w:val="single" w:color="auto" w:sz="2" w:space="0"/>
            </w:tcBorders>
            <w:vAlign w:val="center"/>
          </w:tcPr>
          <w:p>
            <w:pPr>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R&lt;10</w:t>
            </w:r>
          </w:p>
        </w:tc>
      </w:tr>
    </w:tbl>
    <w:p>
      <w:pPr>
        <w:numPr>
          <w:ilvl w:val="0"/>
          <w:numId w:val="24"/>
        </w:numPr>
        <w:ind w:firstLine="560" w:firstLineChars="200"/>
        <w:rPr>
          <w:rFonts w:hint="default" w:ascii="Times New Roman" w:hAnsi="Times New Roman" w:cs="Times New Roman"/>
        </w:rPr>
      </w:pPr>
      <w:r>
        <w:rPr>
          <w:rFonts w:hint="default" w:ascii="Times New Roman" w:hAnsi="Times New Roman" w:cs="Times New Roman"/>
        </w:rPr>
        <w:t>构成重大危险源物质辨识的符合性</w:t>
      </w:r>
    </w:p>
    <w:p>
      <w:pPr>
        <w:pStyle w:val="9"/>
        <w:ind w:firstLine="560" w:firstLineChars="200"/>
        <w:rPr>
          <w:rFonts w:hint="default" w:ascii="Times New Roman" w:hAnsi="Times New Roman" w:cs="Times New Roman"/>
        </w:rPr>
      </w:pPr>
      <w:r>
        <w:rPr>
          <w:rFonts w:hint="default" w:ascii="Times New Roman" w:hAnsi="Times New Roman" w:cs="Times New Roman"/>
        </w:rPr>
        <w:t>根据</w:t>
      </w:r>
      <w:r>
        <w:rPr>
          <w:rFonts w:hint="default" w:ascii="Times New Roman" w:hAnsi="Times New Roman" w:cs="Times New Roman"/>
          <w:lang w:eastAsia="zh-CN"/>
        </w:rPr>
        <w:t>上饶市广氟医药化工有限公司</w:t>
      </w:r>
      <w:r>
        <w:rPr>
          <w:rFonts w:hint="default" w:ascii="Times New Roman" w:hAnsi="Times New Roman" w:cs="Times New Roman"/>
        </w:rPr>
        <w:t>生产装置的工艺流程描述，最后查相应物质的理化性质及危险特性表，列入《危险化学品目录》</w:t>
      </w:r>
      <w:r>
        <w:rPr>
          <w:rFonts w:hint="default" w:ascii="Times New Roman" w:hAnsi="Times New Roman" w:cs="Times New Roman"/>
          <w:lang w:eastAsia="zh-CN"/>
        </w:rPr>
        <w:t>（</w:t>
      </w:r>
      <w:r>
        <w:rPr>
          <w:rFonts w:hint="default" w:ascii="Times New Roman" w:hAnsi="Times New Roman" w:cs="Times New Roman"/>
          <w:lang w:val="en-US" w:eastAsia="zh-CN"/>
        </w:rPr>
        <w:t>2022调整版）</w:t>
      </w:r>
      <w:r>
        <w:rPr>
          <w:rFonts w:hint="default" w:ascii="Times New Roman" w:hAnsi="Times New Roman" w:cs="Times New Roman"/>
        </w:rPr>
        <w:t>的危险化学品有：</w:t>
      </w:r>
      <w:r>
        <w:rPr>
          <w:rFonts w:hint="default" w:ascii="Times New Roman" w:hAnsi="Times New Roman" w:cs="Times New Roman"/>
          <w:color w:val="000000" w:themeColor="text1"/>
        </w:rPr>
        <w:t>有水氢氟酸、有水氟硅酸、硼酸、氟硅酸钠、氟化钡、氟化钠、氟化氢钠、氟化锌、氟化锂、有水氟硼酸</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氢氧化钾</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氢氧化钠</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氟硅酸钾</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氟硅酸钡</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氟硅酸镁</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氟硅酸锌</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氟化钾</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氟化氢钾</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lang w:val="zh-CN"/>
        </w:rPr>
        <w:t>根据《危险化学品重大危险源辨识》</w:t>
      </w:r>
      <w:r>
        <w:rPr>
          <w:rFonts w:hint="default" w:ascii="Times New Roman" w:hAnsi="Times New Roman" w:cs="Times New Roman"/>
        </w:rPr>
        <w:t>GB18218-2018：</w:t>
      </w:r>
    </w:p>
    <w:p>
      <w:pPr>
        <w:ind w:firstLine="560" w:firstLineChars="200"/>
        <w:rPr>
          <w:rFonts w:hint="default" w:ascii="Times New Roman" w:hAnsi="Times New Roman" w:cs="Times New Roman"/>
        </w:rPr>
      </w:pPr>
      <w:r>
        <w:rPr>
          <w:rFonts w:hint="default" w:ascii="Times New Roman" w:hAnsi="Times New Roman" w:cs="Times New Roman"/>
        </w:rPr>
        <w:t>（1）构成重大危险源的物质辨识</w:t>
      </w:r>
    </w:p>
    <w:p>
      <w:pPr>
        <w:snapToGrid w:val="0"/>
        <w:spacing w:line="580" w:lineRule="exact"/>
        <w:jc w:val="center"/>
        <w:rPr>
          <w:rFonts w:hint="default" w:ascii="Times New Roman" w:hAnsi="Times New Roman" w:cs="Times New Roman"/>
        </w:rPr>
      </w:pPr>
      <w:r>
        <w:rPr>
          <w:rFonts w:hint="default" w:ascii="Times New Roman" w:hAnsi="Times New Roman" w:cs="Times New Roman"/>
        </w:rPr>
        <w:t>表B.5-2 GB18218-2018表1列出的物质</w:t>
      </w:r>
    </w:p>
    <w:tbl>
      <w:tblPr>
        <w:tblStyle w:val="25"/>
        <w:tblW w:w="5000"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2340"/>
        <w:gridCol w:w="1515"/>
        <w:gridCol w:w="1481"/>
        <w:gridCol w:w="1548"/>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pct"/>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zh-CN"/>
              </w:rPr>
              <w:t>序号</w:t>
            </w:r>
          </w:p>
        </w:tc>
        <w:tc>
          <w:tcPr>
            <w:tcW w:w="1259" w:type="pct"/>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zh-CN"/>
              </w:rPr>
              <w:t>危险化学品名称和说明</w:t>
            </w:r>
          </w:p>
        </w:tc>
        <w:tc>
          <w:tcPr>
            <w:tcW w:w="815" w:type="pct"/>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zh-CN"/>
              </w:rPr>
              <w:t>别名</w:t>
            </w:r>
          </w:p>
        </w:tc>
        <w:tc>
          <w:tcPr>
            <w:tcW w:w="797" w:type="pct"/>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zh-CN"/>
              </w:rPr>
              <w:t>CAS号</w:t>
            </w:r>
          </w:p>
        </w:tc>
        <w:tc>
          <w:tcPr>
            <w:tcW w:w="833" w:type="pct"/>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zh-CN"/>
              </w:rPr>
              <w:t>临界量(吨）</w:t>
            </w:r>
          </w:p>
        </w:tc>
        <w:tc>
          <w:tcPr>
            <w:tcW w:w="833" w:type="pct"/>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pct"/>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259" w:type="pct"/>
            <w:vAlign w:val="center"/>
          </w:tcPr>
          <w:p>
            <w:pPr>
              <w:autoSpaceDE w:val="0"/>
              <w:autoSpaceDN w:val="0"/>
              <w:adjustRightInd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kern w:val="0"/>
                <w:sz w:val="21"/>
                <w:szCs w:val="21"/>
                <w:lang w:val="en-US" w:eastAsia="zh-CN"/>
              </w:rPr>
              <w:t>/</w:t>
            </w:r>
          </w:p>
        </w:tc>
        <w:tc>
          <w:tcPr>
            <w:tcW w:w="815" w:type="pct"/>
            <w:vAlign w:val="center"/>
          </w:tcPr>
          <w:p>
            <w:pPr>
              <w:autoSpaceDE w:val="0"/>
              <w:autoSpaceDN w:val="0"/>
              <w:adjustRightInd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w:t>
            </w:r>
          </w:p>
        </w:tc>
        <w:tc>
          <w:tcPr>
            <w:tcW w:w="797" w:type="pct"/>
            <w:vAlign w:val="center"/>
          </w:tcPr>
          <w:p>
            <w:pPr>
              <w:autoSpaceDE w:val="0"/>
              <w:autoSpaceDN w:val="0"/>
              <w:adjustRightInd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kern w:val="0"/>
                <w:sz w:val="21"/>
                <w:szCs w:val="21"/>
                <w:lang w:val="en-US" w:eastAsia="zh-CN"/>
              </w:rPr>
              <w:t>/</w:t>
            </w:r>
          </w:p>
        </w:tc>
        <w:tc>
          <w:tcPr>
            <w:tcW w:w="833" w:type="pct"/>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w:t>
            </w:r>
          </w:p>
        </w:tc>
        <w:tc>
          <w:tcPr>
            <w:tcW w:w="833" w:type="pct"/>
          </w:tcPr>
          <w:p>
            <w:pPr>
              <w:spacing w:line="240" w:lineRule="auto"/>
              <w:jc w:val="center"/>
              <w:rPr>
                <w:rFonts w:hint="default" w:ascii="Times New Roman" w:hAnsi="Times New Roman" w:cs="Times New Roman"/>
                <w:sz w:val="21"/>
                <w:szCs w:val="21"/>
              </w:rPr>
            </w:pPr>
          </w:p>
        </w:tc>
      </w:tr>
    </w:tbl>
    <w:p>
      <w:pPr>
        <w:snapToGrid w:val="0"/>
        <w:spacing w:line="580" w:lineRule="exact"/>
        <w:jc w:val="center"/>
        <w:rPr>
          <w:rFonts w:hint="default" w:ascii="Times New Roman" w:hAnsi="Times New Roman" w:cs="Times New Roman"/>
        </w:rPr>
      </w:pPr>
      <w:r>
        <w:rPr>
          <w:rFonts w:hint="default" w:ascii="Times New Roman" w:hAnsi="Times New Roman" w:cs="Times New Roman"/>
        </w:rPr>
        <w:t>表B.5-3 GB18218-2018表2列出的物质</w:t>
      </w:r>
    </w:p>
    <w:tbl>
      <w:tblPr>
        <w:tblStyle w:val="25"/>
        <w:tblW w:w="4996"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830"/>
        <w:gridCol w:w="1347"/>
        <w:gridCol w:w="2513"/>
        <w:gridCol w:w="2134"/>
        <w:gridCol w:w="1274"/>
        <w:gridCol w:w="118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tcBorders>
              <w:top w:val="single" w:color="auto" w:sz="2" w:space="0"/>
            </w:tcBorders>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序号</w:t>
            </w:r>
          </w:p>
        </w:tc>
        <w:tc>
          <w:tcPr>
            <w:tcW w:w="725" w:type="pct"/>
            <w:tcBorders>
              <w:top w:val="single" w:color="auto" w:sz="2" w:space="0"/>
            </w:tcBorders>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名称</w:t>
            </w:r>
          </w:p>
        </w:tc>
        <w:tc>
          <w:tcPr>
            <w:tcW w:w="1353" w:type="pct"/>
            <w:tcBorders>
              <w:top w:val="single" w:color="auto" w:sz="2" w:space="0"/>
            </w:tcBorders>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危险性分类及说明</w:t>
            </w:r>
          </w:p>
        </w:tc>
        <w:tc>
          <w:tcPr>
            <w:tcW w:w="1149" w:type="pct"/>
            <w:tcBorders>
              <w:top w:val="single" w:color="auto" w:sz="2" w:space="0"/>
            </w:tcBorders>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状态</w:t>
            </w:r>
          </w:p>
        </w:tc>
        <w:tc>
          <w:tcPr>
            <w:tcW w:w="686" w:type="pct"/>
            <w:tcBorders>
              <w:top w:val="single" w:color="auto" w:sz="2" w:space="0"/>
            </w:tcBorders>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临界量（t）</w:t>
            </w:r>
          </w:p>
        </w:tc>
        <w:tc>
          <w:tcPr>
            <w:tcW w:w="637" w:type="pct"/>
            <w:tcBorders>
              <w:top w:val="single" w:color="auto" w:sz="2" w:space="0"/>
            </w:tcBorders>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备注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447" w:type="pct"/>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725" w:type="pct"/>
            <w:vAlign w:val="center"/>
          </w:tcPr>
          <w:p>
            <w:pPr>
              <w:autoSpaceDE w:val="0"/>
              <w:autoSpaceDN w:val="0"/>
              <w:adjustRightIn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有水氢氟酸</w:t>
            </w:r>
          </w:p>
        </w:tc>
        <w:tc>
          <w:tcPr>
            <w:tcW w:w="1353" w:type="pct"/>
            <w:vAlign w:val="center"/>
          </w:tcPr>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sz w:val="21"/>
                <w:szCs w:val="21"/>
              </w:rPr>
              <w:t>急性毒性，类别2</w:t>
            </w:r>
          </w:p>
        </w:tc>
        <w:tc>
          <w:tcPr>
            <w:tcW w:w="1149" w:type="pct"/>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rPr>
              <w:t>/</w:t>
            </w:r>
          </w:p>
        </w:tc>
        <w:tc>
          <w:tcPr>
            <w:tcW w:w="686" w:type="pct"/>
            <w:vAlign w:val="center"/>
          </w:tcPr>
          <w:p>
            <w:pPr>
              <w:autoSpaceDE w:val="0"/>
              <w:autoSpaceDN w:val="0"/>
              <w:adjustRightIn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50</w:t>
            </w:r>
          </w:p>
        </w:tc>
        <w:tc>
          <w:tcPr>
            <w:tcW w:w="637" w:type="pct"/>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p>
        </w:tc>
      </w:tr>
    </w:tbl>
    <w:p>
      <w:pPr>
        <w:snapToGrid w:val="0"/>
        <w:spacing w:line="560" w:lineRule="exact"/>
        <w:ind w:firstLine="579" w:firstLineChars="207"/>
        <w:jc w:val="left"/>
        <w:rPr>
          <w:rFonts w:hint="default" w:ascii="Times New Roman" w:hAnsi="Times New Roman" w:cs="Times New Roman"/>
        </w:rPr>
      </w:pPr>
      <w:r>
        <w:rPr>
          <w:rFonts w:hint="default" w:ascii="Times New Roman" w:hAnsi="Times New Roman" w:cs="Times New Roman"/>
        </w:rPr>
        <w:t>以上物质为构成重大危险源物质。</w:t>
      </w:r>
    </w:p>
    <w:p>
      <w:pPr>
        <w:ind w:firstLine="560" w:firstLineChars="200"/>
        <w:rPr>
          <w:rFonts w:hint="default" w:ascii="Times New Roman" w:hAnsi="Times New Roman" w:cs="Times New Roman"/>
        </w:rPr>
      </w:pPr>
      <w:r>
        <w:rPr>
          <w:rFonts w:hint="default" w:ascii="Times New Roman" w:hAnsi="Times New Roman" w:cs="Times New Roman"/>
        </w:rPr>
        <w:t>（2）不属于构成重大危险源物质辨识的说明</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有水</w:t>
      </w:r>
      <w:r>
        <w:rPr>
          <w:rFonts w:hint="default" w:ascii="Times New Roman" w:hAnsi="Times New Roman" w:cs="Times New Roman"/>
        </w:rPr>
        <w:t>氟硅酸、氢氧化钾、氢氧化钠、氟硼酸等腐蚀性物质在表1、表2均未列出，因此不属于构成重大危险源物质。</w:t>
      </w:r>
    </w:p>
    <w:p>
      <w:pPr>
        <w:ind w:firstLine="560" w:firstLineChars="200"/>
        <w:rPr>
          <w:rFonts w:hint="default" w:ascii="Times New Roman" w:hAnsi="Times New Roman" w:cs="Times New Roman"/>
        </w:rPr>
      </w:pPr>
      <w:r>
        <w:rPr>
          <w:rFonts w:hint="default" w:ascii="Times New Roman" w:hAnsi="Times New Roman" w:cs="Times New Roman"/>
        </w:rPr>
        <w:t>氟硅酸钾、氟化钾、氟硅酸钠属于急性毒性-吸入,类别3*，对比《危险化学品重大危险源辨识》GB18218-2018表2，氟硅酸钾、氟化钾、氟硅酸钠属于固体，且沸点＞35℃，因此不属于构成重大危险源的物质。</w:t>
      </w:r>
    </w:p>
    <w:p>
      <w:pPr>
        <w:ind w:firstLine="560" w:firstLineChars="200"/>
        <w:rPr>
          <w:rFonts w:hint="default" w:ascii="Times New Roman" w:hAnsi="Times New Roman" w:cs="Times New Roman"/>
        </w:rPr>
      </w:pPr>
      <w:r>
        <w:rPr>
          <w:rFonts w:hint="default" w:ascii="Times New Roman" w:hAnsi="Times New Roman" w:cs="Times New Roman"/>
        </w:rPr>
        <w:t>因此，构成危险化学品重大危险源物质的辨识符合《危险化学品重大危险源辨识》GB18218-2018的规定。</w:t>
      </w:r>
    </w:p>
    <w:p>
      <w:pPr>
        <w:autoSpaceDE w:val="0"/>
        <w:autoSpaceDN w:val="0"/>
        <w:adjustRightInd w:val="0"/>
        <w:ind w:firstLine="548" w:firstLineChars="196"/>
        <w:rPr>
          <w:rFonts w:hint="default" w:ascii="Times New Roman" w:hAnsi="Times New Roman" w:cs="Times New Roman"/>
          <w:lang w:val="zh-CN"/>
        </w:rPr>
      </w:pPr>
      <w:r>
        <w:rPr>
          <w:rFonts w:hint="default" w:ascii="Times New Roman" w:hAnsi="Times New Roman" w:cs="Times New Roman"/>
        </w:rPr>
        <w:t>5</w:t>
      </w:r>
      <w:r>
        <w:rPr>
          <w:rFonts w:hint="default" w:ascii="Times New Roman" w:hAnsi="Times New Roman" w:cs="Times New Roman"/>
          <w:lang w:val="zh-CN"/>
        </w:rPr>
        <w:t>）重大危险源辨识情况</w:t>
      </w:r>
    </w:p>
    <w:p>
      <w:pPr>
        <w:snapToGrid w:val="0"/>
        <w:spacing w:line="560" w:lineRule="exact"/>
        <w:ind w:firstLine="560" w:firstLineChars="200"/>
        <w:jc w:val="left"/>
        <w:rPr>
          <w:rFonts w:hint="default" w:ascii="Times New Roman" w:hAnsi="Times New Roman" w:cs="Times New Roman"/>
          <w:lang w:val="zh-CN"/>
        </w:rPr>
      </w:pPr>
      <w:r>
        <w:rPr>
          <w:rFonts w:hint="default" w:ascii="Times New Roman" w:hAnsi="Times New Roman" w:cs="Times New Roman"/>
          <w:lang w:val="zh-CN"/>
        </w:rPr>
        <w:t>根据《危险化学品重大危险源辨识》GB18218-2018，上饶市广氟医药化工有限公司在役生产装置按</w:t>
      </w:r>
      <w:r>
        <w:rPr>
          <w:rFonts w:hint="default" w:ascii="Times New Roman" w:hAnsi="Times New Roman" w:cs="Times New Roman"/>
        </w:rPr>
        <w:t>生产装置单元（101、102、103、104、105生产车间）和储存单元（201原料罐区、202成品罐区、</w:t>
      </w:r>
      <w:r>
        <w:rPr>
          <w:rFonts w:hint="default" w:ascii="Times New Roman" w:hAnsi="Times New Roman" w:cs="Times New Roman"/>
          <w:lang w:val="en-US" w:eastAsia="zh-CN"/>
        </w:rPr>
        <w:t>308半成品仓库一</w:t>
      </w:r>
      <w:r>
        <w:rPr>
          <w:rFonts w:hint="default" w:ascii="Times New Roman" w:hAnsi="Times New Roman" w:cs="Times New Roman"/>
        </w:rPr>
        <w:t>、204成品仓库，</w:t>
      </w:r>
      <w:r>
        <w:rPr>
          <w:rFonts w:hint="default" w:ascii="Times New Roman" w:hAnsi="Times New Roman" w:cs="Times New Roman"/>
          <w:lang w:eastAsia="zh-CN"/>
        </w:rPr>
        <w:t>203烘干包装库</w:t>
      </w:r>
      <w:r>
        <w:rPr>
          <w:rFonts w:hint="default" w:ascii="Times New Roman" w:hAnsi="Times New Roman" w:cs="Times New Roman"/>
        </w:rPr>
        <w:t>等）划分。其他不涉及构成重大危险源物质的单元未列入。</w:t>
      </w:r>
    </w:p>
    <w:p>
      <w:pPr>
        <w:jc w:val="center"/>
        <w:rPr>
          <w:rFonts w:hint="default" w:ascii="Times New Roman" w:hAnsi="Times New Roman" w:cs="Times New Roman"/>
          <w:lang w:val="zh-CN"/>
        </w:rPr>
      </w:pPr>
      <w:r>
        <w:rPr>
          <w:rFonts w:hint="default" w:ascii="Times New Roman" w:hAnsi="Times New Roman" w:cs="Times New Roman"/>
          <w:lang w:val="zh-CN"/>
        </w:rPr>
        <w:t>表</w:t>
      </w:r>
      <w:r>
        <w:rPr>
          <w:rFonts w:hint="default" w:ascii="Times New Roman" w:hAnsi="Times New Roman" w:cs="Times New Roman"/>
        </w:rPr>
        <w:t>B.5</w:t>
      </w:r>
      <w:r>
        <w:rPr>
          <w:rFonts w:hint="default" w:ascii="Times New Roman" w:hAnsi="Times New Roman" w:cs="Times New Roman"/>
          <w:lang w:val="zh-CN"/>
        </w:rPr>
        <w:t>-</w:t>
      </w:r>
      <w:r>
        <w:rPr>
          <w:rFonts w:hint="default" w:ascii="Times New Roman" w:hAnsi="Times New Roman" w:cs="Times New Roman"/>
        </w:rPr>
        <w:t>7</w:t>
      </w:r>
      <w:r>
        <w:rPr>
          <w:rFonts w:hint="default" w:ascii="Times New Roman" w:hAnsi="Times New Roman" w:cs="Times New Roman"/>
          <w:lang w:val="zh-CN"/>
        </w:rPr>
        <w:t xml:space="preserve"> </w:t>
      </w:r>
      <w:r>
        <w:rPr>
          <w:rFonts w:hint="default" w:ascii="Times New Roman" w:hAnsi="Times New Roman" w:cs="Times New Roman"/>
        </w:rPr>
        <w:t>10</w:t>
      </w:r>
      <w:r>
        <w:rPr>
          <w:rFonts w:hint="default" w:ascii="Times New Roman" w:hAnsi="Times New Roman" w:cs="Times New Roman"/>
          <w:lang w:val="en-US" w:eastAsia="zh-CN"/>
        </w:rPr>
        <w:t>1生产</w:t>
      </w:r>
      <w:r>
        <w:rPr>
          <w:rFonts w:hint="default" w:ascii="Times New Roman" w:hAnsi="Times New Roman" w:cs="Times New Roman"/>
        </w:rPr>
        <w:t>车间单元</w:t>
      </w:r>
      <w:r>
        <w:rPr>
          <w:rFonts w:hint="default" w:ascii="Times New Roman" w:hAnsi="Times New Roman" w:cs="Times New Roman"/>
          <w:lang w:val="zh-CN"/>
        </w:rPr>
        <w:t>危险化学品重大危险源辨识和分级一览表</w:t>
      </w:r>
    </w:p>
    <w:tbl>
      <w:tblPr>
        <w:tblStyle w:val="25"/>
        <w:tblW w:w="4996"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495"/>
        <w:gridCol w:w="1363"/>
        <w:gridCol w:w="1907"/>
        <w:gridCol w:w="860"/>
        <w:gridCol w:w="1168"/>
        <w:gridCol w:w="1090"/>
        <w:gridCol w:w="1445"/>
        <w:gridCol w:w="95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67" w:type="pct"/>
            <w:tcBorders>
              <w:top w:val="single" w:color="auto" w:sz="2" w:space="0"/>
            </w:tcBorders>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序号</w:t>
            </w:r>
          </w:p>
        </w:tc>
        <w:tc>
          <w:tcPr>
            <w:tcW w:w="734" w:type="pct"/>
            <w:tcBorders>
              <w:top w:val="single" w:color="auto" w:sz="2" w:space="0"/>
            </w:tcBorders>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名称</w:t>
            </w:r>
          </w:p>
        </w:tc>
        <w:tc>
          <w:tcPr>
            <w:tcW w:w="1027" w:type="pct"/>
            <w:tcBorders>
              <w:top w:val="single" w:color="auto" w:sz="2" w:space="0"/>
            </w:tcBorders>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危险性分类及说明</w:t>
            </w:r>
          </w:p>
        </w:tc>
        <w:tc>
          <w:tcPr>
            <w:tcW w:w="463" w:type="pct"/>
            <w:tcBorders>
              <w:top w:val="single" w:color="auto" w:sz="2" w:space="0"/>
            </w:tcBorders>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状态</w:t>
            </w:r>
          </w:p>
        </w:tc>
        <w:tc>
          <w:tcPr>
            <w:tcW w:w="629" w:type="pct"/>
            <w:tcBorders>
              <w:top w:val="single" w:color="auto" w:sz="2" w:space="0"/>
            </w:tcBorders>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临界量（t）</w:t>
            </w:r>
          </w:p>
        </w:tc>
        <w:tc>
          <w:tcPr>
            <w:tcW w:w="587" w:type="pct"/>
            <w:tcBorders>
              <w:top w:val="single" w:color="auto" w:sz="2" w:space="0"/>
            </w:tcBorders>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最大量（t）</w:t>
            </w:r>
          </w:p>
        </w:tc>
        <w:tc>
          <w:tcPr>
            <w:tcW w:w="778" w:type="pct"/>
            <w:tcBorders>
              <w:top w:val="single" w:color="auto" w:sz="2" w:space="0"/>
            </w:tcBorders>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q/Q</w:t>
            </w:r>
          </w:p>
        </w:tc>
        <w:tc>
          <w:tcPr>
            <w:tcW w:w="512" w:type="pct"/>
            <w:tcBorders>
              <w:top w:val="single" w:color="auto" w:sz="2" w:space="0"/>
            </w:tcBorders>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备注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67" w:type="pct"/>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734" w:type="pct"/>
            <w:vAlign w:val="center"/>
          </w:tcPr>
          <w:p>
            <w:pPr>
              <w:autoSpaceDE w:val="0"/>
              <w:autoSpaceDN w:val="0"/>
              <w:adjustRightIn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有水氢氟酸</w:t>
            </w:r>
          </w:p>
        </w:tc>
        <w:tc>
          <w:tcPr>
            <w:tcW w:w="1027" w:type="pct"/>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zh-CN"/>
              </w:rPr>
              <w:t>急性毒性，类别2</w:t>
            </w:r>
          </w:p>
        </w:tc>
        <w:tc>
          <w:tcPr>
            <w:tcW w:w="463" w:type="pct"/>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29" w:type="pct"/>
            <w:vAlign w:val="center"/>
          </w:tcPr>
          <w:p>
            <w:pPr>
              <w:autoSpaceDE w:val="0"/>
              <w:autoSpaceDN w:val="0"/>
              <w:adjustRightIn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50</w:t>
            </w:r>
          </w:p>
        </w:tc>
        <w:tc>
          <w:tcPr>
            <w:tcW w:w="587" w:type="pct"/>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778" w:type="pct"/>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0.08</w:t>
            </w:r>
          </w:p>
        </w:tc>
        <w:tc>
          <w:tcPr>
            <w:tcW w:w="512" w:type="pct"/>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267" w:type="pct"/>
            <w:tcBorders>
              <w:bottom w:val="single" w:color="auto" w:sz="2" w:space="0"/>
            </w:tcBorders>
            <w:vAlign w:val="center"/>
          </w:tcPr>
          <w:p>
            <w:pPr>
              <w:autoSpaceDE w:val="0"/>
              <w:autoSpaceDN w:val="0"/>
              <w:adjustRightInd w:val="0"/>
              <w:spacing w:line="240" w:lineRule="auto"/>
              <w:jc w:val="center"/>
              <w:rPr>
                <w:rFonts w:hint="default" w:ascii="Times New Roman" w:hAnsi="Times New Roman" w:cs="Times New Roman"/>
                <w:sz w:val="21"/>
                <w:szCs w:val="21"/>
              </w:rPr>
            </w:pPr>
          </w:p>
        </w:tc>
        <w:tc>
          <w:tcPr>
            <w:tcW w:w="734" w:type="pct"/>
            <w:tcBorders>
              <w:bottom w:val="single" w:color="auto" w:sz="2" w:space="0"/>
            </w:tcBorders>
            <w:vAlign w:val="center"/>
          </w:tcPr>
          <w:p>
            <w:pPr>
              <w:autoSpaceDE w:val="0"/>
              <w:autoSpaceDN w:val="0"/>
              <w:adjustRightInd w:val="0"/>
              <w:spacing w:line="240" w:lineRule="auto"/>
              <w:jc w:val="center"/>
              <w:rPr>
                <w:rFonts w:hint="default" w:ascii="Times New Roman" w:hAnsi="Times New Roman" w:cs="Times New Roman"/>
              </w:rPr>
            </w:pPr>
            <w:r>
              <w:rPr>
                <w:rFonts w:hint="default" w:ascii="Times New Roman" w:hAnsi="Times New Roman" w:cs="Times New Roman"/>
                <w:sz w:val="21"/>
                <w:szCs w:val="21"/>
              </w:rPr>
              <w:t>重大危险源辨识结论</w:t>
            </w:r>
          </w:p>
        </w:tc>
        <w:tc>
          <w:tcPr>
            <w:tcW w:w="3997" w:type="pct"/>
            <w:gridSpan w:val="6"/>
            <w:tcBorders>
              <w:bottom w:val="single" w:color="auto" w:sz="2" w:space="0"/>
            </w:tcBorders>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 q/Q</w:t>
            </w:r>
            <w:r>
              <w:rPr>
                <w:rFonts w:hint="default" w:ascii="Times New Roman" w:hAnsi="Times New Roman" w:cs="Times New Roman"/>
                <w:sz w:val="21"/>
                <w:szCs w:val="21"/>
              </w:rPr>
              <w:t>=0.08，不构成重大危险源</w:t>
            </w:r>
          </w:p>
        </w:tc>
      </w:tr>
    </w:tbl>
    <w:p>
      <w:pPr>
        <w:jc w:val="center"/>
        <w:rPr>
          <w:rFonts w:hint="default" w:ascii="Times New Roman" w:hAnsi="Times New Roman" w:cs="Times New Roman"/>
          <w:lang w:val="zh-CN"/>
        </w:rPr>
      </w:pPr>
      <w:r>
        <w:rPr>
          <w:rFonts w:hint="default" w:ascii="Times New Roman" w:hAnsi="Times New Roman" w:cs="Times New Roman"/>
          <w:lang w:val="zh-CN"/>
        </w:rPr>
        <w:t>表</w:t>
      </w:r>
      <w:r>
        <w:rPr>
          <w:rFonts w:hint="default" w:ascii="Times New Roman" w:hAnsi="Times New Roman" w:cs="Times New Roman"/>
        </w:rPr>
        <w:t>B.5</w:t>
      </w:r>
      <w:r>
        <w:rPr>
          <w:rFonts w:hint="default" w:ascii="Times New Roman" w:hAnsi="Times New Roman" w:cs="Times New Roman"/>
          <w:lang w:val="zh-CN"/>
        </w:rPr>
        <w:t>-</w:t>
      </w:r>
      <w:r>
        <w:rPr>
          <w:rFonts w:hint="default" w:ascii="Times New Roman" w:hAnsi="Times New Roman" w:cs="Times New Roman"/>
        </w:rPr>
        <w:t>8</w:t>
      </w:r>
      <w:r>
        <w:rPr>
          <w:rFonts w:hint="default" w:ascii="Times New Roman" w:hAnsi="Times New Roman" w:cs="Times New Roman"/>
          <w:lang w:val="zh-CN"/>
        </w:rPr>
        <w:t xml:space="preserve"> </w:t>
      </w:r>
      <w:r>
        <w:rPr>
          <w:rFonts w:hint="default" w:ascii="Times New Roman" w:hAnsi="Times New Roman" w:cs="Times New Roman"/>
        </w:rPr>
        <w:t>102生产车间单元</w:t>
      </w:r>
      <w:r>
        <w:rPr>
          <w:rFonts w:hint="default" w:ascii="Times New Roman" w:hAnsi="Times New Roman" w:cs="Times New Roman"/>
          <w:lang w:val="zh-CN"/>
        </w:rPr>
        <w:t>危险化学品重大危险源辨识和分级一览表</w:t>
      </w:r>
    </w:p>
    <w:tbl>
      <w:tblPr>
        <w:tblStyle w:val="25"/>
        <w:tblW w:w="0" w:type="auto"/>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769"/>
        <w:gridCol w:w="1308"/>
        <w:gridCol w:w="1886"/>
        <w:gridCol w:w="2088"/>
        <w:gridCol w:w="1261"/>
        <w:gridCol w:w="1024"/>
        <w:gridCol w:w="952"/>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序号</w:t>
            </w:r>
          </w:p>
        </w:tc>
        <w:tc>
          <w:tcPr>
            <w:tcW w:w="1308"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名称</w:t>
            </w:r>
          </w:p>
        </w:tc>
        <w:tc>
          <w:tcPr>
            <w:tcW w:w="1886"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危险性分类</w:t>
            </w:r>
          </w:p>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及说明</w:t>
            </w:r>
          </w:p>
        </w:tc>
        <w:tc>
          <w:tcPr>
            <w:tcW w:w="2088"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状态</w:t>
            </w:r>
          </w:p>
        </w:tc>
        <w:tc>
          <w:tcPr>
            <w:tcW w:w="1261"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临界量（t）</w:t>
            </w:r>
          </w:p>
        </w:tc>
        <w:tc>
          <w:tcPr>
            <w:tcW w:w="1024"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最大量（t）</w:t>
            </w:r>
          </w:p>
        </w:tc>
        <w:tc>
          <w:tcPr>
            <w:tcW w:w="952" w:type="dxa"/>
            <w:noWrap w:val="0"/>
            <w:vAlign w:val="top"/>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q/Q</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noWrap w:val="0"/>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308"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氢氟酸</w:t>
            </w:r>
          </w:p>
        </w:tc>
        <w:tc>
          <w:tcPr>
            <w:tcW w:w="1886"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rPr>
              <w:t>急性毒性，类别2</w:t>
            </w:r>
          </w:p>
        </w:tc>
        <w:tc>
          <w:tcPr>
            <w:tcW w:w="2088" w:type="dxa"/>
            <w:noWrap w:val="0"/>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261" w:type="dxa"/>
            <w:noWrap w:val="0"/>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1024" w:type="dxa"/>
            <w:noWrap w:val="0"/>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952" w:type="dxa"/>
            <w:noWrap w:val="0"/>
            <w:vAlign w:val="top"/>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0.06</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noWrap w:val="0"/>
            <w:vAlign w:val="center"/>
          </w:tcPr>
          <w:p>
            <w:pPr>
              <w:spacing w:line="240" w:lineRule="auto"/>
              <w:jc w:val="center"/>
              <w:rPr>
                <w:rFonts w:hint="default" w:ascii="Times New Roman" w:hAnsi="Times New Roman" w:cs="Times New Roman"/>
                <w:sz w:val="21"/>
                <w:szCs w:val="21"/>
              </w:rPr>
            </w:pPr>
          </w:p>
        </w:tc>
        <w:tc>
          <w:tcPr>
            <w:tcW w:w="1308"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重大危险源辨识结论</w:t>
            </w:r>
          </w:p>
        </w:tc>
        <w:tc>
          <w:tcPr>
            <w:tcW w:w="7211" w:type="dxa"/>
            <w:gridSpan w:val="5"/>
            <w:noWrap w:val="0"/>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zh-CN"/>
              </w:rPr>
              <w:t>∑q/Q＝0.</w:t>
            </w:r>
            <w:r>
              <w:rPr>
                <w:rFonts w:hint="default" w:ascii="Times New Roman" w:hAnsi="Times New Roman" w:cs="Times New Roman"/>
                <w:sz w:val="21"/>
                <w:szCs w:val="21"/>
              </w:rPr>
              <w:t>06</w:t>
            </w:r>
            <w:r>
              <w:rPr>
                <w:rFonts w:hint="default" w:ascii="Times New Roman" w:hAnsi="Times New Roman" w:cs="Times New Roman"/>
                <w:sz w:val="21"/>
                <w:szCs w:val="21"/>
                <w:lang w:val="zh-CN"/>
              </w:rPr>
              <w:t>，不构成重大危险源</w:t>
            </w:r>
          </w:p>
        </w:tc>
      </w:tr>
    </w:tbl>
    <w:p>
      <w:pPr>
        <w:ind w:firstLine="560" w:firstLineChars="200"/>
        <w:jc w:val="center"/>
        <w:rPr>
          <w:rFonts w:hint="default" w:ascii="Times New Roman" w:hAnsi="Times New Roman" w:cs="Times New Roman"/>
          <w:lang w:val="zh-CN"/>
        </w:rPr>
      </w:pPr>
      <w:r>
        <w:rPr>
          <w:rFonts w:hint="default" w:ascii="Times New Roman" w:hAnsi="Times New Roman" w:cs="Times New Roman"/>
          <w:lang w:val="zh-CN"/>
        </w:rPr>
        <w:t>表</w:t>
      </w:r>
      <w:r>
        <w:rPr>
          <w:rFonts w:hint="default" w:ascii="Times New Roman" w:hAnsi="Times New Roman" w:cs="Times New Roman"/>
        </w:rPr>
        <w:t>B.5</w:t>
      </w:r>
      <w:r>
        <w:rPr>
          <w:rFonts w:hint="default" w:ascii="Times New Roman" w:hAnsi="Times New Roman" w:cs="Times New Roman"/>
          <w:lang w:val="zh-CN"/>
        </w:rPr>
        <w:t>-</w:t>
      </w:r>
      <w:r>
        <w:rPr>
          <w:rFonts w:hint="default" w:ascii="Times New Roman" w:hAnsi="Times New Roman" w:cs="Times New Roman"/>
          <w:lang w:val="en-US" w:eastAsia="zh-CN"/>
        </w:rPr>
        <w:t>9</w:t>
      </w:r>
      <w:r>
        <w:rPr>
          <w:rFonts w:hint="default" w:ascii="Times New Roman" w:hAnsi="Times New Roman" w:cs="Times New Roman"/>
          <w:lang w:val="zh-CN"/>
        </w:rPr>
        <w:t xml:space="preserve"> </w:t>
      </w:r>
      <w:r>
        <w:rPr>
          <w:rFonts w:hint="default" w:ascii="Times New Roman" w:hAnsi="Times New Roman" w:cs="Times New Roman"/>
        </w:rPr>
        <w:t>104生产车间</w:t>
      </w:r>
      <w:r>
        <w:rPr>
          <w:rFonts w:hint="default" w:ascii="Times New Roman" w:hAnsi="Times New Roman" w:cs="Times New Roman"/>
          <w:lang w:val="en-US" w:eastAsia="zh-CN"/>
        </w:rPr>
        <w:t>单元</w:t>
      </w:r>
      <w:r>
        <w:rPr>
          <w:rFonts w:hint="default" w:ascii="Times New Roman" w:hAnsi="Times New Roman" w:cs="Times New Roman"/>
          <w:lang w:val="zh-CN"/>
        </w:rPr>
        <w:t>危险化学品重大危险源辨识和分级一览表</w:t>
      </w:r>
    </w:p>
    <w:tbl>
      <w:tblPr>
        <w:tblStyle w:val="25"/>
        <w:tblW w:w="0" w:type="auto"/>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769"/>
        <w:gridCol w:w="1308"/>
        <w:gridCol w:w="1886"/>
        <w:gridCol w:w="2088"/>
        <w:gridCol w:w="1261"/>
        <w:gridCol w:w="1024"/>
        <w:gridCol w:w="952"/>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序号</w:t>
            </w:r>
          </w:p>
        </w:tc>
        <w:tc>
          <w:tcPr>
            <w:tcW w:w="1308"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名称</w:t>
            </w:r>
          </w:p>
        </w:tc>
        <w:tc>
          <w:tcPr>
            <w:tcW w:w="1886"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危险性分类</w:t>
            </w:r>
          </w:p>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及说明</w:t>
            </w:r>
          </w:p>
        </w:tc>
        <w:tc>
          <w:tcPr>
            <w:tcW w:w="2088"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状态</w:t>
            </w:r>
          </w:p>
        </w:tc>
        <w:tc>
          <w:tcPr>
            <w:tcW w:w="1261"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临界量（t）</w:t>
            </w:r>
          </w:p>
        </w:tc>
        <w:tc>
          <w:tcPr>
            <w:tcW w:w="1024"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最大量（t）</w:t>
            </w:r>
          </w:p>
        </w:tc>
        <w:tc>
          <w:tcPr>
            <w:tcW w:w="952" w:type="dxa"/>
            <w:noWrap w:val="0"/>
            <w:vAlign w:val="top"/>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q/Q</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noWrap w:val="0"/>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308"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氢氟酸</w:t>
            </w:r>
          </w:p>
        </w:tc>
        <w:tc>
          <w:tcPr>
            <w:tcW w:w="1886"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rPr>
              <w:t>急性毒性，类别2</w:t>
            </w:r>
          </w:p>
        </w:tc>
        <w:tc>
          <w:tcPr>
            <w:tcW w:w="2088" w:type="dxa"/>
            <w:noWrap w:val="0"/>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261" w:type="dxa"/>
            <w:noWrap w:val="0"/>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1024" w:type="dxa"/>
            <w:noWrap w:val="0"/>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952" w:type="dxa"/>
            <w:noWrap w:val="0"/>
            <w:vAlign w:val="top"/>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0.06</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noWrap w:val="0"/>
            <w:vAlign w:val="center"/>
          </w:tcPr>
          <w:p>
            <w:pPr>
              <w:spacing w:line="240" w:lineRule="auto"/>
              <w:jc w:val="center"/>
              <w:rPr>
                <w:rFonts w:hint="default" w:ascii="Times New Roman" w:hAnsi="Times New Roman" w:cs="Times New Roman"/>
                <w:sz w:val="21"/>
                <w:szCs w:val="21"/>
              </w:rPr>
            </w:pPr>
          </w:p>
        </w:tc>
        <w:tc>
          <w:tcPr>
            <w:tcW w:w="1308"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重大危险源辨识结论</w:t>
            </w:r>
          </w:p>
        </w:tc>
        <w:tc>
          <w:tcPr>
            <w:tcW w:w="7211" w:type="dxa"/>
            <w:gridSpan w:val="5"/>
            <w:noWrap w:val="0"/>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zh-CN"/>
              </w:rPr>
              <w:t>∑q/Q＝0.</w:t>
            </w:r>
            <w:r>
              <w:rPr>
                <w:rFonts w:hint="default" w:ascii="Times New Roman" w:hAnsi="Times New Roman" w:cs="Times New Roman"/>
                <w:sz w:val="21"/>
                <w:szCs w:val="21"/>
              </w:rPr>
              <w:t>06</w:t>
            </w:r>
            <w:r>
              <w:rPr>
                <w:rFonts w:hint="default" w:ascii="Times New Roman" w:hAnsi="Times New Roman" w:cs="Times New Roman"/>
                <w:sz w:val="21"/>
                <w:szCs w:val="21"/>
                <w:lang w:val="zh-CN"/>
              </w:rPr>
              <w:t>，不构成重大危险源</w:t>
            </w:r>
          </w:p>
        </w:tc>
      </w:tr>
    </w:tbl>
    <w:p>
      <w:pPr>
        <w:ind w:firstLine="560" w:firstLineChars="200"/>
        <w:jc w:val="center"/>
        <w:rPr>
          <w:rFonts w:hint="default" w:ascii="Times New Roman" w:hAnsi="Times New Roman" w:cs="Times New Roman"/>
          <w:lang w:val="zh-CN"/>
        </w:rPr>
      </w:pPr>
      <w:r>
        <w:rPr>
          <w:rFonts w:hint="default" w:ascii="Times New Roman" w:hAnsi="Times New Roman" w:cs="Times New Roman"/>
        </w:rPr>
        <w:t>表B.5-</w:t>
      </w:r>
      <w:r>
        <w:rPr>
          <w:rFonts w:hint="default" w:ascii="Times New Roman" w:hAnsi="Times New Roman" w:cs="Times New Roman"/>
          <w:lang w:val="en-US" w:eastAsia="zh-CN"/>
        </w:rPr>
        <w:t>10</w:t>
      </w:r>
      <w:r>
        <w:rPr>
          <w:rFonts w:hint="default" w:ascii="Times New Roman" w:hAnsi="Times New Roman" w:cs="Times New Roman"/>
        </w:rPr>
        <w:t xml:space="preserve"> 201原料罐区</w:t>
      </w:r>
      <w:r>
        <w:rPr>
          <w:rFonts w:hint="default" w:ascii="Times New Roman" w:hAnsi="Times New Roman" w:cs="Times New Roman"/>
          <w:lang w:val="en-US" w:eastAsia="zh-CN"/>
        </w:rPr>
        <w:t>单元</w:t>
      </w:r>
      <w:r>
        <w:rPr>
          <w:rFonts w:hint="default" w:ascii="Times New Roman" w:hAnsi="Times New Roman" w:cs="Times New Roman"/>
          <w:lang w:val="zh-CN"/>
        </w:rPr>
        <w:t>危险化学品重大危险源辨识和分级一览表</w:t>
      </w:r>
    </w:p>
    <w:tbl>
      <w:tblPr>
        <w:tblStyle w:val="25"/>
        <w:tblW w:w="0" w:type="auto"/>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769"/>
        <w:gridCol w:w="1308"/>
        <w:gridCol w:w="1886"/>
        <w:gridCol w:w="2088"/>
        <w:gridCol w:w="1261"/>
        <w:gridCol w:w="1024"/>
        <w:gridCol w:w="952"/>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序号</w:t>
            </w:r>
          </w:p>
        </w:tc>
        <w:tc>
          <w:tcPr>
            <w:tcW w:w="1308"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名称</w:t>
            </w:r>
          </w:p>
        </w:tc>
        <w:tc>
          <w:tcPr>
            <w:tcW w:w="1886"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危险性分类</w:t>
            </w:r>
          </w:p>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及说明</w:t>
            </w:r>
          </w:p>
        </w:tc>
        <w:tc>
          <w:tcPr>
            <w:tcW w:w="2088"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状态</w:t>
            </w:r>
          </w:p>
        </w:tc>
        <w:tc>
          <w:tcPr>
            <w:tcW w:w="1261"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临界量（t）</w:t>
            </w:r>
          </w:p>
        </w:tc>
        <w:tc>
          <w:tcPr>
            <w:tcW w:w="1024"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最大量（t）</w:t>
            </w:r>
          </w:p>
        </w:tc>
        <w:tc>
          <w:tcPr>
            <w:tcW w:w="952" w:type="dxa"/>
            <w:noWrap w:val="0"/>
            <w:vAlign w:val="top"/>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q/Q</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noWrap w:val="0"/>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308"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氢氟酸</w:t>
            </w:r>
          </w:p>
        </w:tc>
        <w:tc>
          <w:tcPr>
            <w:tcW w:w="1886"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rPr>
              <w:t>急性毒性，类别2</w:t>
            </w:r>
          </w:p>
        </w:tc>
        <w:tc>
          <w:tcPr>
            <w:tcW w:w="2088" w:type="dxa"/>
            <w:noWrap w:val="0"/>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261" w:type="dxa"/>
            <w:noWrap w:val="0"/>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1024" w:type="dxa"/>
            <w:noWrap w:val="0"/>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bCs/>
                <w:sz w:val="21"/>
                <w:szCs w:val="21"/>
              </w:rPr>
              <w:t>40.63</w:t>
            </w:r>
          </w:p>
        </w:tc>
        <w:tc>
          <w:tcPr>
            <w:tcW w:w="952" w:type="dxa"/>
            <w:noWrap w:val="0"/>
            <w:vAlign w:val="top"/>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0.81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noWrap w:val="0"/>
            <w:vAlign w:val="center"/>
          </w:tcPr>
          <w:p>
            <w:pPr>
              <w:spacing w:line="240" w:lineRule="auto"/>
              <w:jc w:val="center"/>
              <w:rPr>
                <w:rFonts w:hint="default" w:ascii="Times New Roman" w:hAnsi="Times New Roman" w:cs="Times New Roman"/>
                <w:sz w:val="21"/>
                <w:szCs w:val="21"/>
              </w:rPr>
            </w:pPr>
          </w:p>
        </w:tc>
        <w:tc>
          <w:tcPr>
            <w:tcW w:w="1308" w:type="dxa"/>
            <w:noWrap w:val="0"/>
            <w:vAlign w:val="center"/>
          </w:tcPr>
          <w:p>
            <w:pPr>
              <w:autoSpaceDE w:val="0"/>
              <w:autoSpaceDN w:val="0"/>
              <w:adjustRightInd w:val="0"/>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lang w:val="zh-CN"/>
              </w:rPr>
              <w:t>重大危险源辨识结论</w:t>
            </w:r>
          </w:p>
        </w:tc>
        <w:tc>
          <w:tcPr>
            <w:tcW w:w="7211" w:type="dxa"/>
            <w:gridSpan w:val="5"/>
            <w:noWrap w:val="0"/>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zh-CN"/>
              </w:rPr>
              <w:t>∑q/Q＝0.</w:t>
            </w:r>
            <w:r>
              <w:rPr>
                <w:rFonts w:hint="default" w:ascii="Times New Roman" w:hAnsi="Times New Roman" w:cs="Times New Roman"/>
                <w:sz w:val="21"/>
                <w:szCs w:val="21"/>
              </w:rPr>
              <w:t>81</w:t>
            </w:r>
            <w:r>
              <w:rPr>
                <w:rFonts w:hint="default" w:ascii="Times New Roman" w:hAnsi="Times New Roman" w:cs="Times New Roman"/>
                <w:sz w:val="21"/>
                <w:szCs w:val="21"/>
                <w:lang w:val="zh-CN"/>
              </w:rPr>
              <w:t>，不构成重大危险源</w:t>
            </w:r>
          </w:p>
        </w:tc>
      </w:tr>
    </w:tbl>
    <w:p>
      <w:pPr>
        <w:spacing w:line="560" w:lineRule="exact"/>
        <w:ind w:firstLine="560" w:firstLineChars="200"/>
        <w:rPr>
          <w:rFonts w:hint="default" w:ascii="Times New Roman" w:hAnsi="Times New Roman" w:cs="Times New Roman"/>
          <w:lang w:val="zh-CN"/>
        </w:rPr>
      </w:pPr>
      <w:r>
        <w:rPr>
          <w:rFonts w:hint="default" w:ascii="Times New Roman" w:hAnsi="Times New Roman" w:cs="Times New Roman"/>
          <w:lang w:val="zh-CN"/>
        </w:rPr>
        <w:t>根据前节分析生产单元（103、105生产车间）、储存单元（202成品罐区、203烘干包装库、308半成品仓库、204成品仓库、205原料仓库）不涉及构成重大危险源的物质，故其均不构成重大危险源，不进行分析。</w:t>
      </w:r>
    </w:p>
    <w:p>
      <w:pPr>
        <w:spacing w:line="560" w:lineRule="exact"/>
        <w:ind w:firstLine="560" w:firstLineChars="200"/>
        <w:rPr>
          <w:rFonts w:hint="default" w:ascii="Times New Roman" w:hAnsi="Times New Roman" w:cs="Times New Roman"/>
        </w:rPr>
      </w:pPr>
      <w:r>
        <w:rPr>
          <w:rFonts w:hint="default" w:ascii="Times New Roman" w:hAnsi="Times New Roman" w:cs="Times New Roman"/>
          <w:lang w:val="zh-CN"/>
        </w:rPr>
        <w:t>小结：上饶市广氟医药化工有限公司在役生产装置的各生产、储存单元的危险化学品均不构成重大危险源。</w:t>
      </w:r>
    </w:p>
    <w:p>
      <w:pPr>
        <w:pStyle w:val="4"/>
        <w:rPr>
          <w:rFonts w:hint="default" w:ascii="Times New Roman" w:hAnsi="Times New Roman" w:cs="Times New Roman"/>
        </w:rPr>
      </w:pPr>
      <w:bookmarkStart w:id="123" w:name="_Toc7577"/>
      <w:r>
        <w:rPr>
          <w:rFonts w:hint="default" w:ascii="Times New Roman" w:hAnsi="Times New Roman" w:cs="Times New Roman"/>
        </w:rPr>
        <w:t>B.6外部安全防护距离</w:t>
      </w:r>
      <w:bookmarkEnd w:id="123"/>
    </w:p>
    <w:p>
      <w:pPr>
        <w:ind w:firstLine="560" w:firstLineChars="200"/>
        <w:rPr>
          <w:rFonts w:hint="default" w:ascii="Times New Roman" w:hAnsi="Times New Roman" w:cs="Times New Roman"/>
        </w:rPr>
      </w:pPr>
      <w:r>
        <w:rPr>
          <w:rFonts w:hint="default" w:ascii="Times New Roman" w:hAnsi="Times New Roman" w:cs="Times New Roman"/>
        </w:rPr>
        <w:t>根据《危险化学品生产装置和储存设施外部安全防护距离确定方法》GB/T37243-2019 第4.3条：涉及有毒气体或易燃气体，且其设计最大量与GB18218中规定的临界量比值之和大于或等于1的危险化学品生产装置和储存设施应采用定量风险评价方法确定外部安全防护距离。当企业存在上述装置和设施时，应将企业内所有的危险化学品生产装置和储存设施作为一个整体进行定量风险评估，确定外部安全防护距离。该项目不涉及有毒气体（氢氟酸为溶液）或易燃气体，故不需将企业内所有的危险化学品生产装置和储存设施作为一个整体进行定量风险评估。</w:t>
      </w:r>
    </w:p>
    <w:p>
      <w:pPr>
        <w:ind w:firstLine="560" w:firstLineChars="200"/>
        <w:rPr>
          <w:rFonts w:hint="default" w:ascii="Times New Roman" w:hAnsi="Times New Roman" w:cs="Times New Roman"/>
        </w:rPr>
      </w:pPr>
      <w:r>
        <w:rPr>
          <w:rFonts w:hint="default" w:ascii="Times New Roman" w:hAnsi="Times New Roman" w:cs="Times New Roman"/>
        </w:rPr>
        <w:t>根据《危险化学品生产装置和储存设施外部安全防护距离确定方法》GB/T37243-2019附录A，可选择危险度总分值≥11的单元（装置）进行风险评价。</w:t>
      </w:r>
    </w:p>
    <w:p>
      <w:pPr>
        <w:ind w:firstLine="560" w:firstLineChars="200"/>
        <w:rPr>
          <w:rFonts w:hint="default" w:ascii="Times New Roman" w:hAnsi="Times New Roman" w:cs="Times New Roman"/>
        </w:rPr>
      </w:pPr>
      <w:r>
        <w:rPr>
          <w:rFonts w:hint="eastAsia" w:cs="Times New Roman"/>
          <w:lang w:val="en-US" w:eastAsia="zh-CN"/>
        </w:rPr>
        <w:t>根据C.3和C.4节，</w:t>
      </w:r>
      <w:r>
        <w:rPr>
          <w:rFonts w:hint="default" w:ascii="Times New Roman" w:hAnsi="Times New Roman" w:cs="Times New Roman"/>
        </w:rPr>
        <w:t>该项目生产车间及储存单元危险度均小于11，故亦不采用《危险化学品生产装置和储存设施风险基准》GB36894-2018、《危险化学品生产装置和储存设施外部安全防护距离确定方法》GB/T37243-2019确定外部安全防护距离。</w:t>
      </w:r>
    </w:p>
    <w:p>
      <w:pPr>
        <w:ind w:firstLine="560" w:firstLineChars="200"/>
        <w:rPr>
          <w:rFonts w:hint="default" w:ascii="Times New Roman" w:hAnsi="Times New Roman" w:cs="Times New Roman"/>
        </w:rPr>
      </w:pPr>
      <w:r>
        <w:rPr>
          <w:rFonts w:hint="default" w:ascii="Times New Roman" w:hAnsi="Times New Roman" w:cs="Times New Roman"/>
        </w:rPr>
        <w:t>根据《危险化学品生产装置和储存设施外部安全防护距离确定方法》GB/T37243-2019第4.4条，本标准4.2及4.3条规定以外的危险化学品生产装置及储存设施的外部安全防护距离应满足相关标准规范的距离要求。</w:t>
      </w:r>
    </w:p>
    <w:p>
      <w:pPr>
        <w:ind w:firstLine="560" w:firstLineChars="200"/>
        <w:rPr>
          <w:rFonts w:hint="default" w:ascii="Times New Roman" w:hAnsi="Times New Roman" w:cs="Times New Roman"/>
        </w:rPr>
      </w:pPr>
      <w:r>
        <w:rPr>
          <w:rFonts w:hint="eastAsia" w:cs="Times New Roman"/>
          <w:lang w:val="en-US" w:eastAsia="zh-CN"/>
        </w:rPr>
        <w:t>因此</w:t>
      </w:r>
      <w:r>
        <w:rPr>
          <w:rFonts w:hint="default" w:ascii="Times New Roman" w:hAnsi="Times New Roman" w:cs="Times New Roman"/>
        </w:rPr>
        <w:t>该项目生产车间及储存设施的外部安全防护距离满足相关标准规范的距离要求：根据《建筑设计防火规范》GB50016-2014（2018年版），第3.4.1条，生产车间（丁类，二级耐火）及丁戊类仓库与民用建筑（裙房、单层、多层，二级耐火）间距10m；生产车间（丁类，二级耐火）及丁戊类仓库与民用建筑（一类）间距15m；生产车间（丁类，二级耐火）及丁戊类仓库与民用建筑（二类）间距13m。</w:t>
      </w:r>
    </w:p>
    <w:p>
      <w:pPr>
        <w:pStyle w:val="4"/>
        <w:rPr>
          <w:rFonts w:hint="default" w:ascii="Times New Roman" w:hAnsi="Times New Roman" w:cs="Times New Roman"/>
        </w:rPr>
      </w:pPr>
      <w:bookmarkStart w:id="124" w:name="_Toc1764"/>
      <w:bookmarkStart w:id="125" w:name="_Toc17378"/>
      <w:r>
        <w:rPr>
          <w:rFonts w:hint="default" w:ascii="Times New Roman" w:hAnsi="Times New Roman" w:cs="Times New Roman"/>
        </w:rPr>
        <w:t>B.7生产装置风险源风险分级</w:t>
      </w:r>
      <w:bookmarkEnd w:id="124"/>
    </w:p>
    <w:p>
      <w:pPr>
        <w:spacing w:line="360" w:lineRule="auto"/>
        <w:ind w:firstLine="560" w:firstLineChars="200"/>
        <w:jc w:val="left"/>
        <w:rPr>
          <w:rFonts w:hint="default" w:ascii="Times New Roman" w:hAnsi="Times New Roman" w:cs="Times New Roman"/>
        </w:rPr>
      </w:pPr>
      <w:r>
        <w:rPr>
          <w:rFonts w:hint="default" w:ascii="Times New Roman" w:hAnsi="Times New Roman" w:cs="Times New Roman"/>
        </w:rPr>
        <w:t>该公司在役生产装置存在重点监管的危险化学品，生产过程中涉及了有毒物质、具腐蚀性物质，容易波及相邻企业、周边设施的危险有害因素主要有</w:t>
      </w:r>
      <w:r>
        <w:rPr>
          <w:rFonts w:hint="default" w:ascii="Times New Roman" w:hAnsi="Times New Roman" w:cs="Times New Roman"/>
          <w:lang w:val="en-US" w:eastAsia="zh-CN"/>
        </w:rPr>
        <w:t>中毒和窒息、火灾</w:t>
      </w:r>
      <w:r>
        <w:rPr>
          <w:rFonts w:hint="default" w:ascii="Times New Roman" w:hAnsi="Times New Roman" w:cs="Times New Roman"/>
        </w:rPr>
        <w:t>等，评价对其进行风险计算；依据国务院安委办下发《实施遏制重特大事故工作指南构建双重预防机制的意见》、</w:t>
      </w:r>
      <w:r>
        <w:rPr>
          <w:rFonts w:hint="default" w:ascii="Times New Roman" w:hAnsi="Times New Roman" w:cs="Times New Roman"/>
          <w:kern w:val="0"/>
        </w:rPr>
        <w:t>《国务院安全生产委员会关于印发2018年工作要点的通知》（安委〔2018〕1号）、《国家安全监管总局关于进一步加强监管监察执法促进企业安全生产主体责任落实的意见》（安监总政法〔2018〕5号）、</w:t>
      </w:r>
      <w:r>
        <w:rPr>
          <w:rFonts w:hint="default" w:ascii="Times New Roman" w:hAnsi="Times New Roman" w:cs="Times New Roman"/>
        </w:rPr>
        <w:t>《关于印发危险化学品生产储存企业安全风险评估诊断分级指南（试行）的通知 》（应急〔2018〕19号）要求，本报告根据企业提供的资料，针对该公司生产装置开展了危险有害因素辨识，并结合各类风险源特点，选择定量风险评价法、事故后果计算法等风险量化方法，并根据该类风险源的风险可接受水平和潜在生命损失，进行安全风险进行评估诊断分级，本报告根据有关文件及标准暂定为“红、橙、黄、蓝”四区域，风险区域情况如下：</w:t>
      </w:r>
    </w:p>
    <w:tbl>
      <w:tblPr>
        <w:tblStyle w:val="25"/>
        <w:tblW w:w="4999" w:type="pct"/>
        <w:jc w:val="center"/>
        <w:tblLayout w:type="autofit"/>
        <w:tblCellMar>
          <w:top w:w="0" w:type="dxa"/>
          <w:left w:w="10" w:type="dxa"/>
          <w:bottom w:w="0" w:type="dxa"/>
          <w:right w:w="10" w:type="dxa"/>
        </w:tblCellMar>
      </w:tblPr>
      <w:tblGrid>
        <w:gridCol w:w="3000"/>
        <w:gridCol w:w="1099"/>
        <w:gridCol w:w="1266"/>
        <w:gridCol w:w="3823"/>
      </w:tblGrid>
      <w:tr>
        <w:tblPrEx>
          <w:tblCellMar>
            <w:top w:w="0" w:type="dxa"/>
            <w:left w:w="10" w:type="dxa"/>
            <w:bottom w:w="0" w:type="dxa"/>
            <w:right w:w="10" w:type="dxa"/>
          </w:tblCellMar>
        </w:tblPrEx>
        <w:trPr>
          <w:trHeight w:val="1" w:hRule="atLeast"/>
          <w:jc w:val="center"/>
        </w:trPr>
        <w:tc>
          <w:tcPr>
            <w:tcW w:w="1632" w:type="pct"/>
            <w:vMerge w:val="restart"/>
            <w:tcBorders>
              <w:top w:val="single" w:color="000000" w:sz="4" w:space="0"/>
              <w:left w:val="single" w:color="000000" w:sz="4" w:space="0"/>
              <w:right w:val="single" w:color="000000" w:sz="4" w:space="0"/>
            </w:tcBorders>
            <w:tcMar>
              <w:left w:w="108" w:type="dxa"/>
              <w:right w:w="108" w:type="dxa"/>
            </w:tcMar>
            <w:vAlign w:val="center"/>
          </w:tcPr>
          <w:p>
            <w:pPr>
              <w:spacing w:line="240" w:lineRule="auto"/>
              <w:jc w:val="center"/>
              <w:rPr>
                <w:rFonts w:hint="default" w:ascii="Times New Roman" w:hAnsi="Times New Roman" w:cs="Times New Roman"/>
                <w:sz w:val="21"/>
                <w:szCs w:val="21"/>
              </w:rPr>
            </w:pPr>
          </w:p>
        </w:tc>
        <w:tc>
          <w:tcPr>
            <w:tcW w:w="3367" w:type="pct"/>
            <w:gridSpan w:val="3"/>
            <w:tcBorders>
              <w:top w:val="single" w:color="000000" w:sz="4" w:space="0"/>
              <w:left w:val="single" w:color="000000" w:sz="4" w:space="0"/>
              <w:right w:val="single" w:color="000000" w:sz="4" w:space="0"/>
            </w:tcBorders>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风险区域描述</w:t>
            </w:r>
          </w:p>
        </w:tc>
      </w:tr>
      <w:tr>
        <w:tblPrEx>
          <w:tblCellMar>
            <w:top w:w="0" w:type="dxa"/>
            <w:left w:w="10" w:type="dxa"/>
            <w:bottom w:w="0" w:type="dxa"/>
            <w:right w:w="10" w:type="dxa"/>
          </w:tblCellMar>
        </w:tblPrEx>
        <w:trPr>
          <w:trHeight w:val="1" w:hRule="atLeast"/>
          <w:jc w:val="center"/>
        </w:trPr>
        <w:tc>
          <w:tcPr>
            <w:tcW w:w="1632" w:type="pct"/>
            <w:vMerge w:val="continue"/>
            <w:tcBorders>
              <w:left w:val="single" w:color="000000" w:sz="4" w:space="0"/>
              <w:bottom w:val="single" w:color="000000" w:sz="4" w:space="0"/>
              <w:right w:val="single" w:color="000000" w:sz="4" w:space="0"/>
            </w:tcBorders>
            <w:shd w:val="clear" w:color="auto" w:fill="9CC2E5"/>
            <w:tcMar>
              <w:left w:w="108" w:type="dxa"/>
              <w:right w:w="108" w:type="dxa"/>
            </w:tcMar>
            <w:vAlign w:val="center"/>
          </w:tcPr>
          <w:p>
            <w:pPr>
              <w:spacing w:line="240" w:lineRule="auto"/>
              <w:jc w:val="center"/>
              <w:rPr>
                <w:rFonts w:hint="default" w:ascii="Times New Roman" w:hAnsi="Times New Roman" w:cs="Times New Roman"/>
                <w:sz w:val="21"/>
                <w:szCs w:val="21"/>
              </w:rPr>
            </w:pPr>
          </w:p>
        </w:tc>
        <w:tc>
          <w:tcPr>
            <w:tcW w:w="598" w:type="pct"/>
            <w:tcBorders>
              <w:top w:val="single" w:color="000000" w:sz="4" w:space="0"/>
              <w:left w:val="single" w:color="000000" w:sz="4" w:space="0"/>
              <w:bottom w:val="single" w:color="000000" w:sz="4" w:space="0"/>
              <w:right w:val="single" w:color="auto" w:sz="6" w:space="0"/>
            </w:tcBorders>
            <w:tcMar>
              <w:left w:w="108" w:type="dxa"/>
              <w:right w:w="108" w:type="dxa"/>
            </w:tcMar>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级别</w:t>
            </w:r>
          </w:p>
        </w:tc>
        <w:tc>
          <w:tcPr>
            <w:tcW w:w="689" w:type="pct"/>
            <w:tcBorders>
              <w:top w:val="single" w:color="000000" w:sz="4" w:space="0"/>
              <w:left w:val="single" w:color="auto" w:sz="6" w:space="0"/>
              <w:bottom w:val="single" w:color="000000" w:sz="4" w:space="0"/>
              <w:right w:val="single" w:color="auto" w:sz="6" w:space="0"/>
            </w:tcBorders>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分数</w:t>
            </w:r>
          </w:p>
        </w:tc>
        <w:tc>
          <w:tcPr>
            <w:tcW w:w="2079" w:type="pct"/>
            <w:tcBorders>
              <w:top w:val="single" w:color="000000" w:sz="4" w:space="0"/>
              <w:left w:val="single" w:color="auto" w:sz="6" w:space="0"/>
              <w:bottom w:val="single" w:color="000000" w:sz="4" w:space="0"/>
              <w:right w:val="single" w:color="000000"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风险描述</w:t>
            </w:r>
          </w:p>
        </w:tc>
      </w:tr>
      <w:tr>
        <w:tblPrEx>
          <w:tblCellMar>
            <w:top w:w="0" w:type="dxa"/>
            <w:left w:w="10" w:type="dxa"/>
            <w:bottom w:w="0" w:type="dxa"/>
            <w:right w:w="10" w:type="dxa"/>
          </w:tblCellMar>
        </w:tblPrEx>
        <w:trPr>
          <w:trHeight w:val="1" w:hRule="atLeast"/>
          <w:jc w:val="center"/>
        </w:trPr>
        <w:tc>
          <w:tcPr>
            <w:tcW w:w="1632" w:type="pct"/>
            <w:tcBorders>
              <w:top w:val="single" w:color="000000" w:sz="4" w:space="0"/>
              <w:left w:val="single" w:color="000000" w:sz="4" w:space="0"/>
              <w:bottom w:val="single" w:color="000000" w:sz="4" w:space="0"/>
              <w:right w:val="single" w:color="000000" w:sz="4" w:space="0"/>
            </w:tcBorders>
            <w:shd w:val="clear" w:color="auto" w:fill="160DC3"/>
            <w:tcMar>
              <w:left w:w="108" w:type="dxa"/>
              <w:right w:w="108" w:type="dxa"/>
            </w:tcMar>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蓝色区域（或低风险区域）</w:t>
            </w:r>
          </w:p>
        </w:tc>
        <w:tc>
          <w:tcPr>
            <w:tcW w:w="598" w:type="pct"/>
            <w:tcBorders>
              <w:top w:val="single" w:color="000000" w:sz="4" w:space="0"/>
              <w:left w:val="single" w:color="000000" w:sz="4" w:space="0"/>
              <w:bottom w:val="single" w:color="000000" w:sz="4" w:space="0"/>
              <w:right w:val="single" w:color="auto" w:sz="6" w:space="0"/>
            </w:tcBorders>
            <w:tcMar>
              <w:left w:w="108" w:type="dxa"/>
              <w:right w:w="108" w:type="dxa"/>
            </w:tcMar>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IV级</w:t>
            </w:r>
          </w:p>
        </w:tc>
        <w:tc>
          <w:tcPr>
            <w:tcW w:w="689" w:type="pct"/>
            <w:tcBorders>
              <w:top w:val="single" w:color="000000" w:sz="4" w:space="0"/>
              <w:left w:val="single" w:color="auto" w:sz="6" w:space="0"/>
              <w:bottom w:val="single" w:color="000000" w:sz="4" w:space="0"/>
              <w:right w:val="single" w:color="auto" w:sz="6" w:space="0"/>
            </w:tcBorders>
          </w:tcPr>
          <w:p>
            <w:pPr>
              <w:spacing w:line="240" w:lineRule="auto"/>
              <w:rPr>
                <w:rFonts w:hint="default" w:ascii="Times New Roman" w:hAnsi="Times New Roman" w:cs="Times New Roman"/>
                <w:sz w:val="21"/>
                <w:szCs w:val="21"/>
              </w:rPr>
            </w:pPr>
            <w:r>
              <w:rPr>
                <w:rFonts w:hint="default" w:ascii="Times New Roman" w:hAnsi="Times New Roman" w:cs="Times New Roman"/>
                <w:kern w:val="0"/>
                <w:sz w:val="21"/>
                <w:szCs w:val="21"/>
              </w:rPr>
              <w:t>90分及以上</w:t>
            </w:r>
          </w:p>
        </w:tc>
        <w:tc>
          <w:tcPr>
            <w:tcW w:w="2079" w:type="pct"/>
            <w:tcBorders>
              <w:top w:val="single" w:color="000000" w:sz="4" w:space="0"/>
              <w:left w:val="single" w:color="auto" w:sz="6" w:space="0"/>
              <w:bottom w:val="single" w:color="000000" w:sz="4" w:space="0"/>
              <w:right w:val="single" w:color="000000"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轻度危险区域，可以接受（或可容许的）</w:t>
            </w:r>
          </w:p>
        </w:tc>
      </w:tr>
      <w:tr>
        <w:tblPrEx>
          <w:tblCellMar>
            <w:top w:w="0" w:type="dxa"/>
            <w:left w:w="10" w:type="dxa"/>
            <w:bottom w:w="0" w:type="dxa"/>
            <w:right w:w="10" w:type="dxa"/>
          </w:tblCellMar>
        </w:tblPrEx>
        <w:trPr>
          <w:trHeight w:val="1" w:hRule="atLeast"/>
          <w:jc w:val="center"/>
        </w:trPr>
        <w:tc>
          <w:tcPr>
            <w:tcW w:w="1632" w:type="pct"/>
            <w:tcBorders>
              <w:top w:val="single" w:color="000000" w:sz="4" w:space="0"/>
              <w:left w:val="single" w:color="000000" w:sz="4" w:space="0"/>
              <w:bottom w:val="single" w:color="000000" w:sz="4" w:space="0"/>
              <w:right w:val="single" w:color="000000" w:sz="4" w:space="0"/>
            </w:tcBorders>
            <w:shd w:val="clear" w:color="auto" w:fill="FFFF00"/>
            <w:tcMar>
              <w:left w:w="108" w:type="dxa"/>
              <w:right w:w="108" w:type="dxa"/>
            </w:tcMar>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黄色区域（或一般风险区域）</w:t>
            </w:r>
          </w:p>
        </w:tc>
        <w:tc>
          <w:tcPr>
            <w:tcW w:w="598" w:type="pct"/>
            <w:tcBorders>
              <w:top w:val="single" w:color="000000" w:sz="4" w:space="0"/>
              <w:left w:val="single" w:color="000000" w:sz="4" w:space="0"/>
              <w:bottom w:val="single" w:color="000000" w:sz="4" w:space="0"/>
              <w:right w:val="single" w:color="auto" w:sz="6" w:space="0"/>
            </w:tcBorders>
            <w:tcMar>
              <w:left w:w="108" w:type="dxa"/>
              <w:right w:w="108" w:type="dxa"/>
            </w:tcMar>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III级</w:t>
            </w:r>
          </w:p>
        </w:tc>
        <w:tc>
          <w:tcPr>
            <w:tcW w:w="689" w:type="pct"/>
            <w:tcBorders>
              <w:top w:val="single" w:color="000000" w:sz="4" w:space="0"/>
              <w:left w:val="single" w:color="auto" w:sz="6" w:space="0"/>
              <w:bottom w:val="single" w:color="000000" w:sz="4" w:space="0"/>
              <w:right w:val="single" w:color="auto" w:sz="6" w:space="0"/>
            </w:tcBorders>
          </w:tcPr>
          <w:p>
            <w:pPr>
              <w:spacing w:line="240" w:lineRule="auto"/>
              <w:rPr>
                <w:rFonts w:hint="default" w:ascii="Times New Roman" w:hAnsi="Times New Roman" w:cs="Times New Roman"/>
                <w:sz w:val="21"/>
                <w:szCs w:val="21"/>
              </w:rPr>
            </w:pPr>
            <w:r>
              <w:rPr>
                <w:rFonts w:hint="default" w:ascii="Times New Roman" w:hAnsi="Times New Roman" w:cs="Times New Roman"/>
                <w:kern w:val="0"/>
                <w:sz w:val="21"/>
                <w:szCs w:val="21"/>
              </w:rPr>
              <w:t>75至90分以下</w:t>
            </w:r>
          </w:p>
        </w:tc>
        <w:tc>
          <w:tcPr>
            <w:tcW w:w="2079" w:type="pct"/>
            <w:tcBorders>
              <w:top w:val="single" w:color="000000" w:sz="4" w:space="0"/>
              <w:left w:val="single" w:color="auto" w:sz="6" w:space="0"/>
              <w:bottom w:val="single" w:color="000000" w:sz="4" w:space="0"/>
              <w:right w:val="single" w:color="000000"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中度危险区域，需要控制并整改</w:t>
            </w:r>
          </w:p>
        </w:tc>
      </w:tr>
      <w:tr>
        <w:tblPrEx>
          <w:tblCellMar>
            <w:top w:w="0" w:type="dxa"/>
            <w:left w:w="10" w:type="dxa"/>
            <w:bottom w:w="0" w:type="dxa"/>
            <w:right w:w="10" w:type="dxa"/>
          </w:tblCellMar>
        </w:tblPrEx>
        <w:trPr>
          <w:trHeight w:val="1" w:hRule="atLeast"/>
          <w:jc w:val="center"/>
        </w:trPr>
        <w:tc>
          <w:tcPr>
            <w:tcW w:w="1632" w:type="pct"/>
            <w:tcBorders>
              <w:top w:val="single" w:color="000000" w:sz="4" w:space="0"/>
              <w:left w:val="single" w:color="000000" w:sz="4" w:space="0"/>
              <w:bottom w:val="single" w:color="000000" w:sz="4" w:space="0"/>
              <w:right w:val="single" w:color="000000" w:sz="4" w:space="0"/>
            </w:tcBorders>
            <w:shd w:val="clear" w:color="auto" w:fill="ED7D31"/>
            <w:tcMar>
              <w:left w:w="108" w:type="dxa"/>
              <w:right w:w="108" w:type="dxa"/>
            </w:tcMar>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橙色区域（或较大风险区域）</w:t>
            </w:r>
          </w:p>
        </w:tc>
        <w:tc>
          <w:tcPr>
            <w:tcW w:w="598" w:type="pct"/>
            <w:tcBorders>
              <w:top w:val="single" w:color="000000" w:sz="4" w:space="0"/>
              <w:left w:val="single" w:color="000000" w:sz="4" w:space="0"/>
              <w:bottom w:val="single" w:color="000000" w:sz="4" w:space="0"/>
              <w:right w:val="single" w:color="auto" w:sz="6" w:space="0"/>
            </w:tcBorders>
            <w:tcMar>
              <w:left w:w="108" w:type="dxa"/>
              <w:right w:w="108" w:type="dxa"/>
            </w:tcMar>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II级</w:t>
            </w:r>
          </w:p>
        </w:tc>
        <w:tc>
          <w:tcPr>
            <w:tcW w:w="689" w:type="pct"/>
            <w:tcBorders>
              <w:top w:val="single" w:color="000000" w:sz="4" w:space="0"/>
              <w:left w:val="single" w:color="auto" w:sz="6" w:space="0"/>
              <w:bottom w:val="single" w:color="000000" w:sz="4" w:space="0"/>
              <w:right w:val="single" w:color="auto" w:sz="6" w:space="0"/>
            </w:tcBorders>
          </w:tcPr>
          <w:p>
            <w:pPr>
              <w:spacing w:line="240" w:lineRule="auto"/>
              <w:rPr>
                <w:rFonts w:hint="default" w:ascii="Times New Roman" w:hAnsi="Times New Roman" w:cs="Times New Roman"/>
                <w:sz w:val="21"/>
                <w:szCs w:val="21"/>
              </w:rPr>
            </w:pPr>
            <w:r>
              <w:rPr>
                <w:rFonts w:hint="default" w:ascii="Times New Roman" w:hAnsi="Times New Roman" w:cs="Times New Roman"/>
                <w:kern w:val="0"/>
                <w:sz w:val="21"/>
                <w:szCs w:val="21"/>
              </w:rPr>
              <w:t>60至75分以下</w:t>
            </w:r>
          </w:p>
        </w:tc>
        <w:tc>
          <w:tcPr>
            <w:tcW w:w="2079" w:type="pct"/>
            <w:tcBorders>
              <w:top w:val="single" w:color="000000" w:sz="4" w:space="0"/>
              <w:left w:val="single" w:color="auto" w:sz="6" w:space="0"/>
              <w:bottom w:val="single" w:color="000000" w:sz="4" w:space="0"/>
              <w:right w:val="single" w:color="000000"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高度危险区域（较大风险），应制定措施进行控制管理</w:t>
            </w:r>
          </w:p>
        </w:tc>
      </w:tr>
      <w:tr>
        <w:tblPrEx>
          <w:tblCellMar>
            <w:top w:w="0" w:type="dxa"/>
            <w:left w:w="10" w:type="dxa"/>
            <w:bottom w:w="0" w:type="dxa"/>
            <w:right w:w="10" w:type="dxa"/>
          </w:tblCellMar>
        </w:tblPrEx>
        <w:trPr>
          <w:trHeight w:val="1" w:hRule="atLeast"/>
          <w:jc w:val="center"/>
        </w:trPr>
        <w:tc>
          <w:tcPr>
            <w:tcW w:w="1632" w:type="pct"/>
            <w:tcBorders>
              <w:top w:val="single" w:color="000000" w:sz="4" w:space="0"/>
              <w:left w:val="single" w:color="000000" w:sz="4" w:space="0"/>
              <w:bottom w:val="single" w:color="000000" w:sz="4" w:space="0"/>
              <w:right w:val="single" w:color="000000" w:sz="4" w:space="0"/>
            </w:tcBorders>
            <w:shd w:val="clear" w:color="auto" w:fill="FF0000"/>
            <w:tcMar>
              <w:left w:w="108" w:type="dxa"/>
              <w:right w:w="108" w:type="dxa"/>
            </w:tcMar>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红色区域（或重大风险区域）</w:t>
            </w:r>
          </w:p>
        </w:tc>
        <w:tc>
          <w:tcPr>
            <w:tcW w:w="598" w:type="pct"/>
            <w:tcBorders>
              <w:top w:val="single" w:color="000000" w:sz="4" w:space="0"/>
              <w:left w:val="single" w:color="000000" w:sz="4" w:space="0"/>
              <w:bottom w:val="single" w:color="000000" w:sz="4" w:space="0"/>
              <w:right w:val="single" w:color="auto" w:sz="6" w:space="0"/>
            </w:tcBorders>
            <w:tcMar>
              <w:left w:w="108" w:type="dxa"/>
              <w:right w:w="108" w:type="dxa"/>
            </w:tcMar>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I级</w:t>
            </w:r>
          </w:p>
        </w:tc>
        <w:tc>
          <w:tcPr>
            <w:tcW w:w="689" w:type="pct"/>
            <w:tcBorders>
              <w:top w:val="single" w:color="000000" w:sz="4" w:space="0"/>
              <w:left w:val="single" w:color="auto" w:sz="6" w:space="0"/>
              <w:bottom w:val="single" w:color="000000" w:sz="4" w:space="0"/>
              <w:right w:val="single" w:color="auto" w:sz="6" w:space="0"/>
            </w:tcBorders>
          </w:tcPr>
          <w:p>
            <w:pPr>
              <w:spacing w:line="240" w:lineRule="auto"/>
              <w:rPr>
                <w:rFonts w:hint="default" w:ascii="Times New Roman" w:hAnsi="Times New Roman" w:cs="Times New Roman"/>
                <w:sz w:val="21"/>
                <w:szCs w:val="21"/>
              </w:rPr>
            </w:pPr>
            <w:r>
              <w:rPr>
                <w:rFonts w:hint="default" w:ascii="Times New Roman" w:hAnsi="Times New Roman" w:cs="Times New Roman"/>
                <w:kern w:val="0"/>
                <w:sz w:val="21"/>
                <w:szCs w:val="21"/>
              </w:rPr>
              <w:t>60分以下</w:t>
            </w:r>
          </w:p>
        </w:tc>
        <w:tc>
          <w:tcPr>
            <w:tcW w:w="2079" w:type="pct"/>
            <w:tcBorders>
              <w:top w:val="single" w:color="000000" w:sz="4" w:space="0"/>
              <w:left w:val="single" w:color="auto" w:sz="6" w:space="0"/>
              <w:bottom w:val="single" w:color="000000" w:sz="4" w:space="0"/>
              <w:right w:val="single" w:color="000000"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不可容许的区域（重大风险），极其危险，必须立即整改，不能继续作业。</w:t>
            </w:r>
          </w:p>
        </w:tc>
      </w:tr>
    </w:tbl>
    <w:p>
      <w:pPr>
        <w:spacing w:line="240" w:lineRule="auto"/>
        <w:jc w:val="center"/>
        <w:rPr>
          <w:rFonts w:hint="default" w:ascii="Times New Roman" w:hAnsi="Times New Roman" w:cs="Times New Roman"/>
        </w:rPr>
      </w:pPr>
      <w:r>
        <w:rPr>
          <w:rFonts w:hint="default" w:ascii="Times New Roman" w:hAnsi="Times New Roman" w:cs="Times New Roman"/>
        </w:rPr>
        <w:t>表B.7-1  危险化学品生产储存企业安全风险评估诊断表</w:t>
      </w:r>
    </w:p>
    <w:tbl>
      <w:tblPr>
        <w:tblStyle w:val="25"/>
        <w:tblW w:w="928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86"/>
        <w:gridCol w:w="1169"/>
        <w:gridCol w:w="4774"/>
        <w:gridCol w:w="816"/>
        <w:gridCol w:w="16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类别</w:t>
            </w:r>
          </w:p>
        </w:tc>
        <w:tc>
          <w:tcPr>
            <w:tcW w:w="1169"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项目（分值）</w:t>
            </w:r>
          </w:p>
        </w:tc>
        <w:tc>
          <w:tcPr>
            <w:tcW w:w="4774"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评估内容</w:t>
            </w:r>
          </w:p>
        </w:tc>
        <w:tc>
          <w:tcPr>
            <w:tcW w:w="816"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扣分值</w:t>
            </w:r>
          </w:p>
        </w:tc>
        <w:tc>
          <w:tcPr>
            <w:tcW w:w="1641"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1.固有危险性</w:t>
            </w:r>
          </w:p>
        </w:tc>
        <w:tc>
          <w:tcPr>
            <w:tcW w:w="1169"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重大危险源</w:t>
            </w:r>
          </w:p>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（10分）</w:t>
            </w: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存在一级危险化学品重大危险源的，扣10分；</w:t>
            </w:r>
          </w:p>
        </w:tc>
        <w:tc>
          <w:tcPr>
            <w:tcW w:w="816"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641"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不构成重大危险源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存在二级危险化学品重大危险源的，扣8分；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Merge w:val="continue"/>
            <w:vAlign w:val="center"/>
          </w:tcPr>
          <w:p>
            <w:pPr>
              <w:widowControl/>
              <w:spacing w:line="240" w:lineRule="auto"/>
              <w:jc w:val="center"/>
              <w:rPr>
                <w:rFonts w:hint="default" w:ascii="Times New Roman" w:hAnsi="Times New Roman"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存在三级危险化学品重大危险源的，扣6分；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Merge w:val="continue"/>
            <w:vAlign w:val="center"/>
          </w:tcPr>
          <w:p>
            <w:pPr>
              <w:widowControl/>
              <w:spacing w:line="240" w:lineRule="auto"/>
              <w:jc w:val="center"/>
              <w:rPr>
                <w:rFonts w:hint="default" w:ascii="Times New Roman" w:hAnsi="Times New Roman"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存在四级危险化学品重大危险源的，扣4分。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Merge w:val="continue"/>
            <w:vAlign w:val="center"/>
          </w:tcPr>
          <w:p>
            <w:pPr>
              <w:widowControl/>
              <w:spacing w:line="240" w:lineRule="auto"/>
              <w:jc w:val="center"/>
              <w:rPr>
                <w:rFonts w:hint="default" w:ascii="Times New Roman" w:hAnsi="Times New Roman"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物质危险性</w:t>
            </w:r>
          </w:p>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（5分）</w:t>
            </w: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生产、储存爆炸品的（实验室化学试剂除外），每一种扣2分；</w:t>
            </w:r>
          </w:p>
        </w:tc>
        <w:tc>
          <w:tcPr>
            <w:tcW w:w="816" w:type="dxa"/>
            <w:vMerge w:val="restart"/>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0.1</w:t>
            </w:r>
          </w:p>
        </w:tc>
        <w:tc>
          <w:tcPr>
            <w:tcW w:w="1641" w:type="dxa"/>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不涉及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生产、储存（含管道输送）氯气、光气等吸入性剧毒化学品的（实验室化学试剂除外），每一种扣2分；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default" w:ascii="Times New Roman" w:hAnsi="Times New Roman" w:cs="Times New Roman"/>
                <w:sz w:val="21"/>
                <w:szCs w:val="21"/>
              </w:rPr>
            </w:pPr>
            <w:r>
              <w:rPr>
                <w:rFonts w:hint="eastAsia" w:cs="Times New Roman"/>
                <w:sz w:val="21"/>
                <w:szCs w:val="21"/>
                <w:lang w:val="en-US" w:eastAsia="zh-CN"/>
              </w:rPr>
              <w:t>不涉及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生产、储存其他重点监管危险化学品的（实验室化学试剂除外），每一种扣0.1分。</w:t>
            </w:r>
          </w:p>
        </w:tc>
        <w:tc>
          <w:tcPr>
            <w:tcW w:w="816" w:type="dxa"/>
            <w:vMerge w:val="continue"/>
          </w:tcPr>
          <w:p>
            <w:pPr>
              <w:widowControl/>
              <w:spacing w:line="240" w:lineRule="auto"/>
              <w:jc w:val="center"/>
              <w:rPr>
                <w:rFonts w:hint="default" w:ascii="Times New Roman" w:hAnsi="Times New Roman" w:cs="Times New Roman"/>
                <w:sz w:val="21"/>
                <w:szCs w:val="21"/>
              </w:rPr>
            </w:pPr>
          </w:p>
        </w:tc>
        <w:tc>
          <w:tcPr>
            <w:tcW w:w="1641" w:type="dxa"/>
          </w:tcPr>
          <w:p>
            <w:pPr>
              <w:widowControl/>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有水氢氟酸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危险化工工艺种类</w:t>
            </w:r>
          </w:p>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（10分）</w:t>
            </w:r>
          </w:p>
        </w:tc>
        <w:tc>
          <w:tcPr>
            <w:tcW w:w="4774"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涉及18种危险化工工艺的，每一种扣2分。</w:t>
            </w:r>
          </w:p>
        </w:tc>
        <w:tc>
          <w:tcPr>
            <w:tcW w:w="816"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641"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不涉及重点监管的危险化工工艺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火灾爆炸危险性</w:t>
            </w:r>
          </w:p>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（5分）</w:t>
            </w: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涉及甲类/乙类火灾危险性类别厂房、库房或者罐区的，每涉及一处扣1/0.5分；</w:t>
            </w:r>
          </w:p>
        </w:tc>
        <w:tc>
          <w:tcPr>
            <w:tcW w:w="816" w:type="dxa"/>
            <w:vMerge w:val="restart"/>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p>
        </w:tc>
        <w:tc>
          <w:tcPr>
            <w:tcW w:w="1641" w:type="dxa"/>
            <w:vAlign w:val="center"/>
          </w:tcPr>
          <w:p>
            <w:pPr>
              <w:widowControl/>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不涉及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涉及甲类、乙类火灾危险性罐区、气柜与加热炉等与产生明火的设施、装置比邻布置的，扣5分。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不涉及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2.周边</w:t>
            </w:r>
          </w:p>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环境</w:t>
            </w:r>
          </w:p>
        </w:tc>
        <w:tc>
          <w:tcPr>
            <w:tcW w:w="1169"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周边环境</w:t>
            </w:r>
          </w:p>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（10分）</w:t>
            </w: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企业在化工园区（化工集中区）外的，扣3分；</w:t>
            </w:r>
          </w:p>
        </w:tc>
        <w:tc>
          <w:tcPr>
            <w:tcW w:w="816"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641"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不属于江西省新规定的化工园区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企业外部安全防护距离不符合《危险化学品生产、储存装置个人可接受风险标准和社会可接受风险标准（试行）》的，扣10分。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3.设计与评估</w:t>
            </w:r>
          </w:p>
        </w:tc>
        <w:tc>
          <w:tcPr>
            <w:tcW w:w="1169"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设计与评估（10分）</w:t>
            </w: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国内首次使用的化工工艺未经过省级人民政府有关部门组织安全可靠性论证的，扣5分；</w:t>
            </w:r>
          </w:p>
        </w:tc>
        <w:tc>
          <w:tcPr>
            <w:tcW w:w="816"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641" w:type="dxa"/>
            <w:vAlign w:val="center"/>
          </w:tcPr>
          <w:p>
            <w:pPr>
              <w:widowControl/>
              <w:spacing w:line="240" w:lineRule="auto"/>
              <w:jc w:val="center"/>
              <w:rPr>
                <w:rFonts w:hint="default" w:ascii="Times New Roman" w:hAnsi="Times New Roman" w:cs="Times New Roman"/>
                <w:sz w:val="21"/>
                <w:szCs w:val="21"/>
              </w:rPr>
            </w:pPr>
            <w:r>
              <w:rPr>
                <w:rFonts w:hint="eastAsia" w:cs="Times New Roman"/>
                <w:sz w:val="21"/>
                <w:szCs w:val="21"/>
                <w:lang w:val="en-US" w:eastAsia="zh-CN"/>
              </w:rPr>
              <w:t>不涉及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精细化工企业未按规范性文件要求开展反应安全风险评估的，扣10分；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不属于精细化工企业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企业危险化学品生产储存装置均由甲级资质设计单位进行全面设计的，加2分。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由甲级资质单位设计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4.设备</w:t>
            </w:r>
          </w:p>
        </w:tc>
        <w:tc>
          <w:tcPr>
            <w:tcW w:w="1169"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设备</w:t>
            </w:r>
          </w:p>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（5分）</w:t>
            </w: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使用淘汰落后安全技术工艺、设备目录列出的工艺及设备的，每一项扣2分；</w:t>
            </w:r>
          </w:p>
        </w:tc>
        <w:tc>
          <w:tcPr>
            <w:tcW w:w="816" w:type="dxa"/>
            <w:vMerge w:val="restart"/>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w:t>
            </w:r>
          </w:p>
        </w:tc>
        <w:tc>
          <w:tcPr>
            <w:tcW w:w="1641" w:type="dxa"/>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不涉及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特种设备没有办理使用登记证书的，或者未按要求定期检验的，扣2分；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按要求办理使用登记证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化工生产装置未按国家标准要求设置双电源或者双回路供电的，扣5分。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设置柴油发电机和UPS电源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5.自控与安全设施</w:t>
            </w:r>
          </w:p>
        </w:tc>
        <w:tc>
          <w:tcPr>
            <w:tcW w:w="1169"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自控与安全设施</w:t>
            </w:r>
          </w:p>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（10分）</w:t>
            </w: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涉及重点监管危险化工工艺的装置未按要求实现自动化控制，系统未实现紧急停车功能，装备的自动化控制系统、紧急停车系统未投入使用的，扣10分；</w:t>
            </w:r>
          </w:p>
        </w:tc>
        <w:tc>
          <w:tcPr>
            <w:tcW w:w="816" w:type="dxa"/>
            <w:vMerge w:val="restart"/>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w:t>
            </w:r>
          </w:p>
        </w:tc>
        <w:tc>
          <w:tcPr>
            <w:tcW w:w="1641" w:type="dxa"/>
            <w:vAlign w:val="center"/>
          </w:tcPr>
          <w:p>
            <w:pPr>
              <w:widowControl/>
              <w:spacing w:line="240" w:lineRule="auto"/>
              <w:jc w:val="center"/>
              <w:rPr>
                <w:rFonts w:hint="default" w:ascii="Times New Roman" w:hAnsi="Times New Roman" w:cs="Times New Roman"/>
                <w:sz w:val="21"/>
                <w:szCs w:val="21"/>
              </w:rPr>
            </w:pPr>
            <w:r>
              <w:rPr>
                <w:rFonts w:hint="eastAsia" w:cs="Times New Roman"/>
                <w:sz w:val="21"/>
                <w:szCs w:val="21"/>
                <w:lang w:val="en-US" w:eastAsia="zh-CN"/>
              </w:rPr>
              <w:t>不涉及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涉及毒性气体、液化气体、剧毒液体的一级、二级重大危险源的危险化学品罐区未配备独立的安全仪表系统的，扣10分；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default" w:ascii="Times New Roman" w:hAnsi="Times New Roman" w:cs="Times New Roman"/>
                <w:sz w:val="21"/>
                <w:szCs w:val="21"/>
              </w:rPr>
            </w:pPr>
            <w:r>
              <w:rPr>
                <w:rFonts w:hint="eastAsia" w:cs="Times New Roman"/>
                <w:sz w:val="21"/>
                <w:szCs w:val="21"/>
                <w:lang w:val="en-US" w:eastAsia="zh-CN"/>
              </w:rPr>
              <w:t>不涉及</w:t>
            </w:r>
            <w:r>
              <w:rPr>
                <w:rFonts w:hint="default" w:ascii="Times New Roman" w:hAnsi="Times New Roman" w:cs="Times New Roman"/>
                <w:sz w:val="21"/>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构成一级、二级重大危险源的危险化学品罐区未实现紧急切断功能的，扣5分；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default" w:ascii="Times New Roman" w:hAnsi="Times New Roman" w:cs="Times New Roman"/>
                <w:sz w:val="21"/>
                <w:szCs w:val="21"/>
              </w:rPr>
            </w:pPr>
            <w:r>
              <w:rPr>
                <w:rFonts w:hint="eastAsia" w:cs="Times New Roman"/>
                <w:sz w:val="21"/>
                <w:szCs w:val="21"/>
                <w:lang w:val="en-US" w:eastAsia="zh-CN"/>
              </w:rPr>
              <w:t>不涉及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危险化学品重大危险源未设置压力、液位、温度远传监控和超限位报警装置的，每涉及一项扣1分；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default" w:ascii="Times New Roman" w:hAnsi="Times New Roman" w:cs="Times New Roman"/>
                <w:sz w:val="21"/>
                <w:szCs w:val="21"/>
              </w:rPr>
            </w:pPr>
            <w:r>
              <w:rPr>
                <w:rFonts w:hint="eastAsia" w:cs="Times New Roman"/>
                <w:sz w:val="21"/>
                <w:szCs w:val="21"/>
                <w:lang w:val="en-US" w:eastAsia="zh-CN"/>
              </w:rPr>
              <w:t>不涉及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涉及可燃和有毒有害气体泄漏的场所未按国家标准设置检测声光报警设施的，每一处扣1分；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201原料罐区有毒气体探头检测范围不足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防爆区域未按国家标准安装使用防爆电气设备的，每一处扣1分；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不涉及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甲类、乙类火灾危险性生产装置内设有办公室、操作室、固定操作岗位或休息室的，每涉及一处扣5分。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default" w:ascii="Times New Roman" w:hAnsi="Times New Roman" w:cs="Times New Roman"/>
                <w:sz w:val="21"/>
                <w:szCs w:val="21"/>
              </w:rPr>
            </w:pPr>
            <w:r>
              <w:rPr>
                <w:rFonts w:hint="eastAsia" w:cs="Times New Roman"/>
                <w:sz w:val="21"/>
                <w:szCs w:val="21"/>
                <w:lang w:val="en-US" w:eastAsia="zh-CN"/>
              </w:rPr>
              <w:t>不涉及</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6.人员资质</w:t>
            </w:r>
          </w:p>
        </w:tc>
        <w:tc>
          <w:tcPr>
            <w:tcW w:w="1169"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人员资质</w:t>
            </w:r>
          </w:p>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（15分）</w:t>
            </w: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企业主要负责人和安全生产管理人员未依法经考核合格的，每一人次扣5分；</w:t>
            </w:r>
          </w:p>
        </w:tc>
        <w:tc>
          <w:tcPr>
            <w:tcW w:w="816" w:type="dxa"/>
            <w:vMerge w:val="restart"/>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w:t>
            </w:r>
          </w:p>
        </w:tc>
        <w:tc>
          <w:tcPr>
            <w:tcW w:w="1641" w:type="dxa"/>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按要求考核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tcPr>
          <w:p>
            <w:pPr>
              <w:widowControl/>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企业专职安全生产管理人员不具备国民教育化工化学类（或安全工程）中等职业教育以上学历或者化工化学类中级以上专业技术职称的，每一人次扣5分；</w:t>
            </w:r>
          </w:p>
        </w:tc>
        <w:tc>
          <w:tcPr>
            <w:tcW w:w="816" w:type="dxa"/>
            <w:vMerge w:val="continue"/>
          </w:tcPr>
          <w:p>
            <w:pPr>
              <w:widowControl/>
              <w:spacing w:line="240" w:lineRule="auto"/>
              <w:jc w:val="center"/>
              <w:rPr>
                <w:rFonts w:hint="default" w:ascii="Times New Roman" w:hAnsi="Times New Roman" w:cs="Times New Roman"/>
                <w:sz w:val="21"/>
                <w:szCs w:val="21"/>
              </w:rPr>
            </w:pPr>
          </w:p>
        </w:tc>
        <w:tc>
          <w:tcPr>
            <w:tcW w:w="1641" w:type="dxa"/>
          </w:tcPr>
          <w:p>
            <w:pPr>
              <w:widowControl/>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具有相关学历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tcPr>
          <w:p>
            <w:pPr>
              <w:widowControl/>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涉及“两重点一重大”装置的生产、设备及工艺专业管理人员不具有相应专业大专以上学历的，每一人次扣5分；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default" w:ascii="Times New Roman" w:hAnsi="Times New Roman" w:cs="Times New Roman"/>
                <w:sz w:val="21"/>
                <w:szCs w:val="21"/>
              </w:rPr>
            </w:pPr>
            <w:r>
              <w:rPr>
                <w:rFonts w:hint="eastAsia" w:cs="Times New Roman"/>
                <w:sz w:val="21"/>
                <w:szCs w:val="21"/>
                <w:lang w:val="en-US" w:eastAsia="zh-CN"/>
              </w:rPr>
              <w:t>具有相关学历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企业未按有关要求配备注册安全工程师的，扣3分；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未配备注册安全工程师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企业主要负责人、分管安全生产工作负责人、安全管理部门主要负责人为化学化工类专业毕业的，每一人次加2分。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主要负责人正在进行学历提升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7.安全管理制度</w:t>
            </w:r>
          </w:p>
        </w:tc>
        <w:tc>
          <w:tcPr>
            <w:tcW w:w="1169"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管理制度</w:t>
            </w:r>
          </w:p>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（10分）</w:t>
            </w: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未制定操作规程和工艺控制指标或者制定的操作规程和工艺控制指标不完善的，扣5分；</w:t>
            </w:r>
          </w:p>
        </w:tc>
        <w:tc>
          <w:tcPr>
            <w:tcW w:w="816" w:type="dxa"/>
            <w:vMerge w:val="restart"/>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w:t>
            </w:r>
          </w:p>
        </w:tc>
        <w:tc>
          <w:tcPr>
            <w:tcW w:w="1641" w:type="dxa"/>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操作规程的工艺控制指标不完善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动火、进入受限空间等特殊作业管理制度不符合国家标准或未有效执行的，扣10分；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按要求执行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未建立与岗位相匹配的全员安全生产责任制的，每涉及一个岗位扣2分。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已建立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8.应急管理</w:t>
            </w:r>
          </w:p>
        </w:tc>
        <w:tc>
          <w:tcPr>
            <w:tcW w:w="1169"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应急配备</w:t>
            </w: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企业自设专职消防应急队伍的，加3分。</w:t>
            </w:r>
          </w:p>
        </w:tc>
        <w:tc>
          <w:tcPr>
            <w:tcW w:w="816"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641" w:type="dxa"/>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未设置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9.安全管理绩效</w:t>
            </w:r>
          </w:p>
        </w:tc>
        <w:tc>
          <w:tcPr>
            <w:tcW w:w="1169"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安全生产标准化达标</w:t>
            </w: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安全生产标准化为一级的，加15分；</w:t>
            </w:r>
          </w:p>
        </w:tc>
        <w:tc>
          <w:tcPr>
            <w:tcW w:w="816"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641" w:type="dxa"/>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安全生产标准化为二级的，加5分；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安全生产标准化为三级的，加2分。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三级安标化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安全事故情况</w:t>
            </w:r>
          </w:p>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（10分）</w:t>
            </w: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三年内发生过1起较大安全事故的，扣10分;</w:t>
            </w:r>
          </w:p>
        </w:tc>
        <w:tc>
          <w:tcPr>
            <w:tcW w:w="816" w:type="dxa"/>
            <w:vMerge w:val="restart"/>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641" w:type="dxa"/>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三年内发生过1起安全事故造成1-2人死亡的，扣8分;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三年内发生过爆炸、着火、中毒等具有社会影响的安全事故，但未造成人员伤亡的，扣5分;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6" w:type="dxa"/>
            <w:vMerge w:val="continue"/>
            <w:vAlign w:val="center"/>
          </w:tcPr>
          <w:p>
            <w:pPr>
              <w:widowControl/>
              <w:spacing w:line="240" w:lineRule="auto"/>
              <w:jc w:val="center"/>
              <w:rPr>
                <w:rFonts w:hint="default" w:ascii="Times New Roman" w:hAnsi="Times New Roman" w:cs="Times New Roman"/>
                <w:sz w:val="21"/>
                <w:szCs w:val="21"/>
              </w:rPr>
            </w:pPr>
          </w:p>
        </w:tc>
        <w:tc>
          <w:tcPr>
            <w:tcW w:w="1169" w:type="dxa"/>
            <w:vMerge w:val="continue"/>
            <w:vAlign w:val="center"/>
          </w:tcPr>
          <w:p>
            <w:pPr>
              <w:widowControl/>
              <w:spacing w:line="240" w:lineRule="auto"/>
              <w:jc w:val="center"/>
              <w:rPr>
                <w:rFonts w:hint="default" w:ascii="Times New Roman" w:hAnsi="Times New Roman" w:cs="Times New Roman"/>
                <w:sz w:val="21"/>
                <w:szCs w:val="21"/>
              </w:rPr>
            </w:pPr>
          </w:p>
        </w:tc>
        <w:tc>
          <w:tcPr>
            <w:tcW w:w="4774" w:type="dxa"/>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五年内未发生安全事故的，加5分。</w:t>
            </w:r>
          </w:p>
        </w:tc>
        <w:tc>
          <w:tcPr>
            <w:tcW w:w="816" w:type="dxa"/>
            <w:vMerge w:val="continue"/>
            <w:vAlign w:val="center"/>
          </w:tcPr>
          <w:p>
            <w:pPr>
              <w:widowControl/>
              <w:spacing w:line="240" w:lineRule="auto"/>
              <w:jc w:val="center"/>
              <w:rPr>
                <w:rFonts w:hint="default" w:ascii="Times New Roman" w:hAnsi="Times New Roman" w:cs="Times New Roman"/>
                <w:sz w:val="21"/>
                <w:szCs w:val="21"/>
              </w:rPr>
            </w:pPr>
          </w:p>
        </w:tc>
        <w:tc>
          <w:tcPr>
            <w:tcW w:w="1641" w:type="dxa"/>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645" w:type="dxa"/>
            <w:gridSpan w:val="4"/>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存在下列情况之一的企业直接判定为红色（最高风险等级）</w:t>
            </w:r>
          </w:p>
        </w:tc>
        <w:tc>
          <w:tcPr>
            <w:tcW w:w="1641" w:type="dxa"/>
            <w:vAlign w:val="center"/>
          </w:tcPr>
          <w:p>
            <w:pPr>
              <w:widowControl/>
              <w:spacing w:line="240" w:lineRule="auto"/>
              <w:jc w:val="left"/>
              <w:rPr>
                <w:rFonts w:hint="default" w:ascii="Times New Roman" w:hAnsi="Times New Roman"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829" w:type="dxa"/>
            <w:gridSpan w:val="3"/>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开发的危险化学品生产工艺未经小试、中试和工业化试验直接进行工业化生产的；</w:t>
            </w:r>
          </w:p>
        </w:tc>
        <w:tc>
          <w:tcPr>
            <w:tcW w:w="816"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641" w:type="dxa"/>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829" w:type="dxa"/>
            <w:gridSpan w:val="3"/>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在役化工装置未经正规设计且未进行安全设计诊断的；</w:t>
            </w:r>
          </w:p>
        </w:tc>
        <w:tc>
          <w:tcPr>
            <w:tcW w:w="816"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641" w:type="dxa"/>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829" w:type="dxa"/>
            <w:gridSpan w:val="3"/>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危险化学品特种作业人员未持有效证件上岗或者未达到高中以上文化程度的;</w:t>
            </w:r>
          </w:p>
        </w:tc>
        <w:tc>
          <w:tcPr>
            <w:tcW w:w="816"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641" w:type="dxa"/>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6829" w:type="dxa"/>
            <w:gridSpan w:val="3"/>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三年内发生过重大以上安全事故的，或者三年内发生2起较大安全事故，或者近一年内发生2起以上亡人一般安全事故的。</w:t>
            </w:r>
          </w:p>
        </w:tc>
        <w:tc>
          <w:tcPr>
            <w:tcW w:w="816"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641" w:type="dxa"/>
            <w:vAlign w:val="center"/>
          </w:tcPr>
          <w:p>
            <w:pPr>
              <w:widowControl/>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645" w:type="dxa"/>
            <w:gridSpan w:val="4"/>
            <w:vAlign w:val="center"/>
          </w:tcPr>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备注： 1.安全风险从高到低依次对应为红色、橙色、黄色、蓝色。总分在90分以上（含90分）的为蓝色；75分（含75分）至90分的为黄色；60分（含60分）至75分的为橙色；60分以下的为红色。</w:t>
            </w:r>
          </w:p>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2.每个项目分值扣完为止，最低为0分。</w:t>
            </w:r>
          </w:p>
          <w:p>
            <w:pPr>
              <w:widowControl/>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3.储存企业指带储存的经营企业。</w:t>
            </w:r>
          </w:p>
        </w:tc>
        <w:tc>
          <w:tcPr>
            <w:tcW w:w="1641" w:type="dxa"/>
            <w:vAlign w:val="center"/>
          </w:tcPr>
          <w:p>
            <w:pPr>
              <w:widowControl/>
              <w:spacing w:line="240" w:lineRule="auto"/>
              <w:jc w:val="left"/>
              <w:rPr>
                <w:rFonts w:hint="default" w:ascii="Times New Roman" w:hAnsi="Times New Roman" w:cs="Times New Roman"/>
                <w:sz w:val="21"/>
                <w:szCs w:val="21"/>
              </w:rPr>
            </w:pPr>
          </w:p>
        </w:tc>
      </w:tr>
    </w:tbl>
    <w:p>
      <w:pPr>
        <w:spacing w:line="360" w:lineRule="auto"/>
        <w:ind w:firstLine="560" w:firstLineChars="200"/>
        <w:jc w:val="left"/>
        <w:rPr>
          <w:rFonts w:hint="default" w:ascii="Times New Roman" w:hAnsi="Times New Roman" w:cs="Times New Roman"/>
        </w:rPr>
      </w:pPr>
      <w:r>
        <w:rPr>
          <w:rFonts w:hint="default" w:ascii="Times New Roman" w:hAnsi="Times New Roman" w:cs="Times New Roman"/>
        </w:rPr>
        <w:t>判断结果：得</w:t>
      </w:r>
      <w:r>
        <w:rPr>
          <w:rFonts w:hint="eastAsia" w:cs="Times New Roman"/>
          <w:lang w:eastAsia="zh-CN"/>
        </w:rPr>
        <w:t>86.9分</w:t>
      </w:r>
      <w:r>
        <w:rPr>
          <w:rFonts w:hint="default" w:ascii="Times New Roman" w:hAnsi="Times New Roman" w:cs="Times New Roman"/>
        </w:rPr>
        <w:t>，为III级（黄色）。</w:t>
      </w:r>
    </w:p>
    <w:p>
      <w:pPr>
        <w:spacing w:line="360" w:lineRule="auto"/>
        <w:ind w:firstLine="560" w:firstLineChars="200"/>
        <w:jc w:val="left"/>
        <w:rPr>
          <w:rFonts w:hint="default" w:ascii="Times New Roman" w:hAnsi="Times New Roman" w:cs="Times New Roman"/>
        </w:rPr>
      </w:pPr>
      <w:r>
        <w:rPr>
          <w:rFonts w:hint="default" w:ascii="Times New Roman" w:hAnsi="Times New Roman" w:cs="Times New Roman"/>
        </w:rPr>
        <w:t>依据企业安全风险评估诊断表，该企业风险级别为III级，属于一般风险（黄色风险），企业厂区在役装置应需要控制及整改。</w:t>
      </w:r>
    </w:p>
    <w:p>
      <w:pPr>
        <w:pStyle w:val="4"/>
        <w:rPr>
          <w:rFonts w:hint="default" w:ascii="Times New Roman" w:hAnsi="Times New Roman" w:cs="Times New Roman"/>
        </w:rPr>
      </w:pPr>
      <w:bookmarkStart w:id="126" w:name="_Toc15621"/>
      <w:r>
        <w:rPr>
          <w:rFonts w:hint="default" w:ascii="Times New Roman" w:hAnsi="Times New Roman" w:cs="Times New Roman"/>
        </w:rPr>
        <w:t>B.8物料的理化特性</w:t>
      </w:r>
      <w:bookmarkEnd w:id="125"/>
      <w:bookmarkEnd w:id="126"/>
    </w:p>
    <w:p>
      <w:pPr>
        <w:autoSpaceDE w:val="0"/>
        <w:autoSpaceDN w:val="0"/>
        <w:adjustRightInd w:val="0"/>
        <w:spacing w:line="360" w:lineRule="auto"/>
        <w:textAlignment w:val="baseline"/>
        <w:rPr>
          <w:rFonts w:hint="default" w:ascii="Times New Roman" w:hAnsi="Times New Roman" w:cs="Times New Roman"/>
        </w:rPr>
      </w:pPr>
      <w:r>
        <w:rPr>
          <w:rFonts w:hint="default" w:ascii="Times New Roman" w:hAnsi="Times New Roman" w:cs="Times New Roman"/>
        </w:rPr>
        <w:t>有水氢氟酸</w:t>
      </w:r>
    </w:p>
    <w:tbl>
      <w:tblPr>
        <w:tblStyle w:val="28"/>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58"/>
        <w:gridCol w:w="74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CAS：</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7664-39-3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0" w:type="auto"/>
            <w:shd w:val="clear" w:color="auto" w:fill="auto"/>
            <w:noWrap w:val="0"/>
            <w:vAlign w:val="center"/>
          </w:tcPr>
          <w:p>
            <w:pPr>
              <w:widowControl/>
              <w:wordWrap w:val="0"/>
              <w:spacing w:line="240" w:lineRule="auto"/>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氢氟酸</w:t>
            </w:r>
          </w:p>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hydrofluoric acid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分子式：</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HF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分子量：</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20.01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有害物成分：</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氢氟酸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健康危害：</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对皮肤有强烈的腐蚀作用。灼伤初期皮肤潮红、干燥。创面苍白，坏死，继而呈紫黑色或灰黑色。深部灼伤或处理不当时，可形成难以愈合的深溃疡，损及骨膜和骨质。本品灼伤疼痛剧烈。眼接触高浓度本品可引起角膜穿孔。接触其蒸气，可发生支气管炎、肺炎等。慢性影响：眼和上呼吸道刺激症状，或有鼻衄，嗅觉减退。可有牙齿酸蚀症。骨骼Ｘ线异常与工业性氟病少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燃爆危险：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本品不燃，具强腐蚀性、强刺激性，可致人体灼伤。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皮肤接触：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立即脱去污染的衣着，用大量流动清水冲洗至少15分钟。就医。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眼睛接触：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立即提起眼睑，用大量流动清水或生理盐水彻底冲洗至少15分钟。就医。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吸入：</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迅速脱离现场至空气新鲜处。保持呼吸道通畅。如呼吸困难，给输氧。如呼吸停止，立即进行人工呼吸。就医。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食入：</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用水漱口，给饮牛奶或蛋清。就医。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危险特性：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本品不燃，但能与大多数金属反应，生成氢气而引起爆炸。遇Ｈ发泡剂立即燃烧。腐蚀性极强。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有害燃烧产物：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氟化氢。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灭火方法：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灭火剂：雾状水、泡沫。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应急处理：</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迅速撤离泄漏污染区人员至安全区，并进行隔离，严格限制出入。建议应急处理人员戴自给正压式呼吸器，穿防酸碱工作服。不要直接接触泄漏物。尽可能切断泄漏源。小量泄漏：用砂土、干燥石灰或苏打灰混合。也可以用大量水冲洗，洗水稀释后放入废水系统。大量泄漏：构筑围堤或挖坑收容。用泵转移至槽车或专用收集器内，回收或运至废物处理场所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操作注意事项：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密闭操作，注意通风。操作尽可能机械化、自动化。操作人员必须经过专门培训，严格遵守操作规程。建议操作人员佩戴自吸过滤式防毒面具（全面罩），穿橡胶耐酸碱服，戴橡胶耐酸碱手套。防止蒸气泄漏到工作场所空气中。避免与碱类、活性金属粉末、玻璃制品接触。搬运时要轻装轻卸，防止包装及容器损坏。配备泄漏应急处理设备。倒空的容器可能残留有害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储存注意事项：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储存于阴凉、通风的库房。远离火种、热源。库温不超过30℃，相对湿度不超过85％。保持容器密封。应与碱类、活性金属粉末、玻璃制品分开存放，切忌混储。储区应备有泄漏应急处理设备和合适的收容材料。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中国MAC(mg/m3)：</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TLVTN：</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OSHA 3ppm，2.6mg/m</w:t>
            </w:r>
            <w:r>
              <w:rPr>
                <w:rFonts w:hint="default" w:ascii="Times New Roman" w:hAnsi="Times New Roman" w:cs="Times New Roman"/>
                <w:sz w:val="21"/>
                <w:szCs w:val="21"/>
                <w:vertAlign w:val="superscript"/>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TLVWN：</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ACGIH 3ppm[F]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监测方法：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离子选择性电极法；氟试剂－镧盐比色法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工程控制：</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密闭操作，注意通风。尽可能机械化、自动化。提供安全淋浴和洗眼设备。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呼吸系统防护：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可能接触其烟雾时，佩戴自吸过滤式防毒面具（全面罩）或空气呼吸器。紧急事态抢救或撤离时，建议佩戴氧气呼吸器。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眼睛防护：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呼吸系统防护中已作防护。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身体防护：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穿橡胶耐酸碱服。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手防护：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戴橡胶耐酸碱手套。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其他防护：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工作现场禁止吸烟、进食和饮水。工作完毕，淋浴更衣。单独存放被毒物污染的衣服，洗后备用。保持良好的卫生习惯。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主要成分：</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含量: 高浓度 55.0％; 低浓度 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外观与性状：</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无色透明有刺激性臭味的液体。商品为40%的水溶液。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熔点(℃)：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-83.1(纯)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沸点(℃)：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120(35.3%)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相对密度(水=1)：</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1.26(75%)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相对蒸气密度(空气=1)：</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燃烧热(kJ/mol)：</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闪点(℃)：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引燃温度(℃)：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爆炸上限%(V/V)：</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爆炸下限%(V/V)：</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溶解性：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与水混溶。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主要用途：</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用作分析试剂、高纯氟化物的制备、玻璃蚀刻及电镀表面处理等。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禁配物：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强碱、活性金属粉末、玻璃制品。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急性毒性：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LD50：无资料 LC50：1044 mg/m3(大鼠吸入)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其它有害作用：</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废弃处置方法：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用过量石灰水中和，析出的沉淀填埋处理或回收利用，上清液稀释后排入废水系统。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危险货物编号：</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81016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UN编号：</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1790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包装类别：</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O52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包装方法：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装入铅桶或特殊塑料容器内，再装入木箱中。空隙用不燃材料填充妥实；装入塑料瓶，特种电木、橡胶或铅容器，严封后再装入坚固木箱中。木箱内用不燃材料衬垫，每箱净重不超过20公斤，3～5公斤包装每箱限装4 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运输注意事项：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铁路运输时应严格按照铁道部《危险货物运输规则》中的危险货物配装表进行配装。起运时包装要完整，装载应稳妥。运输过程中要确保容器不泄漏、不倒塌、不坠落、不损坏。严禁与碱类、活性金属粉末、玻璃制品、食用化学品等混装混运。运输时运输车辆应配备泄漏应急处理设备。运输途中应防曝晒、雨淋，防高温。公路运输时要按规定路线行驶，勿在居民区和人口稠密区停留。</w:t>
            </w:r>
          </w:p>
        </w:tc>
      </w:tr>
    </w:tbl>
    <w:p>
      <w:pPr>
        <w:autoSpaceDE w:val="0"/>
        <w:autoSpaceDN w:val="0"/>
        <w:adjustRightInd w:val="0"/>
        <w:spacing w:line="360" w:lineRule="auto"/>
        <w:textAlignment w:val="baseline"/>
        <w:rPr>
          <w:rFonts w:hint="default" w:ascii="Times New Roman" w:hAnsi="Times New Roman" w:cs="Times New Roman"/>
        </w:rPr>
      </w:pPr>
      <w:r>
        <w:rPr>
          <w:rFonts w:hint="default" w:ascii="Times New Roman" w:hAnsi="Times New Roman" w:cs="Times New Roman"/>
        </w:rPr>
        <w:t>氟硅酸</w:t>
      </w:r>
    </w:p>
    <w:tbl>
      <w:tblPr>
        <w:tblStyle w:val="28"/>
        <w:tblW w:w="5000" w:type="pct"/>
        <w:tblInd w:w="9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58"/>
        <w:gridCol w:w="74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CAS：</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16961-83-4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0" w:type="auto"/>
            <w:shd w:val="clear" w:color="auto" w:fill="auto"/>
            <w:noWrap w:val="0"/>
            <w:vAlign w:val="center"/>
          </w:tcPr>
          <w:p>
            <w:pPr>
              <w:widowControl/>
              <w:wordWrap w:val="0"/>
              <w:spacing w:line="240" w:lineRule="auto"/>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氟硅酸</w:t>
            </w:r>
          </w:p>
          <w:p>
            <w:pPr>
              <w:widowControl/>
              <w:wordWrap w:val="0"/>
              <w:spacing w:line="240" w:lineRule="auto"/>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硅氟酸</w:t>
            </w:r>
          </w:p>
          <w:p>
            <w:pPr>
              <w:widowControl/>
              <w:wordWrap w:val="0"/>
              <w:spacing w:line="240" w:lineRule="auto"/>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fluosilicic acid</w:t>
            </w:r>
          </w:p>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silicofluoric acid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分子式：</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SiF</w:t>
            </w:r>
            <w:r>
              <w:rPr>
                <w:rFonts w:hint="default" w:ascii="Times New Roman" w:hAnsi="Times New Roman" w:cs="Times New Roman"/>
                <w:sz w:val="21"/>
                <w:szCs w:val="21"/>
                <w:vertAlign w:val="subscript"/>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分子量：</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144.09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有害物成分：</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氟硅酸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健康危害：</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皮肤直接接触，引起发红，局部有烧灼感，重者有溃疡形成。对机体的作用似氢氟酸，但较弱。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燃爆危险：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本品不燃，具强腐蚀性，可致人体灼伤。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皮肤接触：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立即脱去污染的衣着，用大量流动清水冲洗至少15分钟。就医。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眼睛接触：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立即提起眼睑，用大量流动清水或生理盐水彻底冲洗至少15分钟。就医。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吸入：</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迅速脱离现场至空气新鲜处。保持呼吸道通畅。如呼吸困难，给输氧。如呼吸停止，立即进行人工呼吸。就医。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食入：</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用水漱口，给饮牛奶或蛋清。就医。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危险特性：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受热分解放出有毒的氟化物气体。具有较强的腐蚀性。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有害燃烧产物：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氟化氢。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灭火方法：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消防人员必须穿全身耐酸碱消防服。灭火剂：泡沫、干粉、二氧化碳、砂土。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应急处理：</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迅速撤离泄漏污染区人员至安全区，并进行隔离，严格限制出入。建议应急处理人员戴自给正压式呼吸器，穿防酸碱工作服。不要直接接触泄漏物。尽可能切断泄漏源。小量泄漏：用砂土或其它不燃材料吸附或吸收。也可以用大量水冲洗，洗水稀释后放入废水系统。大量泄漏：构筑围堤或挖坑收容。用泡沫覆盖，降低蒸气灾害。用泵转移至槽车或专用收集器内，回收或运至废物处理场所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操作注意事项：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密闭操作，注意通风。操作尽可能机械化、自动化。操作人员必须经过专门培训，严格遵守操作规程。建议操作人员佩戴自吸过滤式防毒面具（全面罩），穿橡胶耐酸碱服，戴橡胶耐酸碱手套。远离易燃、可燃物。防止蒸气泄漏到工作场所空气中。避免与碱类接触。搬运时要轻装轻卸，防止包装及容器损坏。配备泄漏应急处理设备。倒空的容器可能残留有害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储存注意事项：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储存于阴凉、通风的库房。远离火种、热源。库温不宜超过30℃。保持容器密封。应与易（可）燃物、碱类分开存放，切忌混储。储区应备有泄漏应急处理设备和合适的收容材料。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工程控制：</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密闭操作，注意通风。尽可能机械化、自动化。提供安全淋浴和洗眼设备。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呼吸系统防护：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可能接触其烟雾时，佩戴自吸过滤式防毒面具（全面罩）或空气呼吸器。紧急事态抢救或撤离时，建议佩戴氧气呼吸器。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眼睛防护：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呼吸系统防护中已作防护。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身体防护：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穿橡胶耐酸碱服。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手防护：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戴橡胶耐酸碱手套。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其他防护：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工作现场禁止吸烟、进食和饮水。工作完毕，淋浴更衣。单独存放被毒物污染的衣服，洗后备用。保持良好的卫生习惯。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主要成分：</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含量≥29.0％。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外观与性状：</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其水溶液为无色透明的发烟液体，有刺激性气味。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沸点(℃)：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108.5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相对密度(水=1)：</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1.32(约)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燃烧热(kJ/mol)：</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闪点(℃)：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引燃温度(℃)：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爆炸上限%(V/V)：</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爆炸下限%(V/V)：</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溶解性：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溶于水。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主要用途：</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制取氟硅酸盐及四氟化硅的原料，也应用于金属电镀、木材防腐、啤酒消毒等。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禁配物：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碱类、易燃或可燃物。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急性毒性：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LD50：无资料 LC50：无资料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其它有害作用：</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废弃处置方法：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根据国家和地方有关法规的要求处置。或与厂商或制造商联系，确定处置方法。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危险货物编号：</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81025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UN编号：</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1778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包装类别：</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O52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包装方法：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装入塑料瓶，特种电木、橡胶或铅容器，严封后再装入坚固木箱中。木箱内用不燃材料衬垫，每箱净重不超过20公斤，3～5公斤包装每箱限装4 瓶；磨砂口玻璃瓶或螺纹口玻璃瓶外普通木箱。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运输注意事项：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铁路运输时应严格按照铁道部《危险货物运输规则》中的危险货物配装表进行配装。起运时包装要完整，装载应稳妥。运输过程中要确保容器不泄漏、不倒塌、不坠落、不损坏。严禁与易燃物或可燃物、碱类、食用化学品等混装混运。运输时运输车辆应配备泄漏应急处理设备。运输途中应防曝晒、雨淋，防高温。公路运输时要按规定路线行驶，勿在居民区和人口稠密区停留。</w:t>
            </w:r>
          </w:p>
        </w:tc>
      </w:tr>
    </w:tbl>
    <w:p>
      <w:pPr>
        <w:autoSpaceDE w:val="0"/>
        <w:autoSpaceDN w:val="0"/>
        <w:adjustRightInd w:val="0"/>
        <w:spacing w:line="360" w:lineRule="auto"/>
        <w:textAlignment w:val="baseline"/>
        <w:rPr>
          <w:rFonts w:hint="default" w:ascii="Times New Roman" w:hAnsi="Times New Roman" w:cs="Times New Roman"/>
        </w:rPr>
      </w:pPr>
      <w:r>
        <w:rPr>
          <w:rFonts w:hint="default" w:ascii="Times New Roman" w:hAnsi="Times New Roman" w:cs="Times New Roman"/>
        </w:rPr>
        <w:t>硼酸</w:t>
      </w:r>
    </w:p>
    <w:tbl>
      <w:tblPr>
        <w:tblStyle w:val="28"/>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58"/>
        <w:gridCol w:w="74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CAS：</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10043-35-3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4000" w:type="pct"/>
            <w:shd w:val="clear" w:color="auto" w:fill="auto"/>
            <w:noWrap w:val="0"/>
            <w:vAlign w:val="center"/>
          </w:tcPr>
          <w:p>
            <w:pPr>
              <w:widowControl/>
              <w:wordWrap w:val="0"/>
              <w:spacing w:line="240" w:lineRule="auto"/>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硼酸</w:t>
            </w:r>
          </w:p>
          <w:p>
            <w:pPr>
              <w:widowControl/>
              <w:wordWrap w:val="0"/>
              <w:spacing w:line="240" w:lineRule="auto"/>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Boracic acid</w:t>
            </w:r>
          </w:p>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boric acid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分子式：</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BO</w:t>
            </w:r>
            <w:r>
              <w:rPr>
                <w:rFonts w:hint="default" w:ascii="Times New Roman" w:hAnsi="Times New Roman" w:cs="Times New Roman"/>
                <w:sz w:val="21"/>
                <w:szCs w:val="21"/>
                <w:vertAlign w:val="subscript"/>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分子量：</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61.84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有害物成分：</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硼酸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健康危害：</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工业生产中，仅见引起皮肤刺激、结膜炎、支气管炎，一般无中毒发生。口服引起急性中毒，主要表现为胃肠道症状，有恶心、呕吐、腹痛、腹泻等，继之发生脱水、休克、昏迷或急性肾功能衰竭，可有高热、肝肾损害和惊厥，重者可致死。皮肤出现广泛鲜红色疹，重者成剥脱性皮炎。本品易被损伤皮肤吸收引起中毒。慢性中毒：长期由胃肠道或皮肤吸收小量该品，可发生轻度消化道症状、皮炎、秃发以及肝肾损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燃爆危险：</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本品不燃，具刺激性。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皮肤接触：</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脱去污染的衣着，用大量流动清水冲洗。就医。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眼睛接触：</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提起眼睑，用流动清水或生理盐水冲洗。就医。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吸入：</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脱离现场至空气新鲜处。如呼吸困难，给输氧。就医。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食入：</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饮足量温水，催吐。洗胃，导泄。就医。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危险特性：</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受高热分解放出有毒的气体。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有害燃烧产物：</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氧化硼。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灭火方法：</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消防人员必须穿全身防火防毒服，在上风向灭火。灭火时尽可能将容器从火场移至空旷处。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应急处理：</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隔离泄漏污染区，限制出入。建议应急处理人员戴防尘面具（全面罩），穿防毒服。用砂土、干燥石灰或苏打灰混合。小心扫起，转移至安全场所。若大量泄漏，用塑料布、帆布覆盖。收集回收或运至废物处理场所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操作注意事项：</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密闭操作，加强通风。操作人员必须经过专门培训，严格遵守操作规程。建议操作人员佩戴自吸过滤式防尘口罩，戴化学安全防护眼镜，穿防毒物渗透工作服，戴橡胶手套。避免产生粉尘。避免与碱类、钾接触。搬运时轻装轻卸，保持包装完整，防止洒漏。配备泄漏应急处理设备。倒空的容器可能残留有害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储存注意事项：</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储存于阴凉、通风的库房。远离火种、热源。应与碱类、钾分开存放，切忌混储。储区应备有合适的材料收容泄漏物。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前苏联MAC(mg/m3)：</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TLVTN：</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未制订标准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TLVWN：</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未制订标准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工程控制：</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生产过程密闭，加强通风。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呼吸系统防护：</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空气中粉尘浓度超标时，必须佩戴自吸过滤式防尘口罩。紧急事态抢救或撤离时，应该佩戴空气呼吸器。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眼睛防护：</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戴化学安全防护眼镜。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身体防护：</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穿防毒物渗透工作服。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手防护：</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戴橡胶手套。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其他防护：</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工作完毕，淋浴更衣。保持良好的卫生习惯。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主要成分：</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纯品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外观与性状：</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无色微带珍珠光泽的三斜晶体或白色粉末，有滑腻手感， 无臭味。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熔点(℃)：</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185(分解)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沸点(℃)：</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相对密度(水=1)：</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1.44(15℃)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燃烧热(kJ/mol)：</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闪点(℃)：</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引燃温度(℃)：</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爆炸上限%(V/V)：</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爆炸下限%(V/V)：</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溶解性：</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溶于水，溶于乙醇、乙醚、甘油。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主要用途：</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用于玻璃、搪瓷、医药、化妆品等工业， 以及制备硼和硼酸盐， 并用作食物防腐剂和消毒剂等。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禁配物：</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碱类、钾。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急性毒性：</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LD50：无资料 LC50：无资料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刺激性：</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人经皮：15mg/3天，间歇染毒，中度刺激。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其它有害作用：</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废弃处置方法：</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根据国家和地方有关法规的要求处置。或与厂商或制造商联系，确定处置方法。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包装类别：</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Z01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包装方法：</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运输注意事项：</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起运时包装要完整，装载应稳妥。运输过程中要确保容器不泄漏、不倒塌、不坠落、不损坏。严禁与碱类、钾、食用化学品等混装混运。运输途中应防曝晒、雨淋，防高温。车辆运输完毕应进行彻底清扫。</w:t>
            </w:r>
          </w:p>
        </w:tc>
      </w:tr>
    </w:tbl>
    <w:p>
      <w:pPr>
        <w:autoSpaceDE w:val="0"/>
        <w:autoSpaceDN w:val="0"/>
        <w:adjustRightInd w:val="0"/>
        <w:spacing w:line="360" w:lineRule="auto"/>
        <w:textAlignment w:val="baseline"/>
        <w:rPr>
          <w:rFonts w:hint="default" w:ascii="Times New Roman" w:hAnsi="Times New Roman" w:cs="Times New Roman"/>
        </w:rPr>
      </w:pPr>
      <w:r>
        <w:rPr>
          <w:rFonts w:hint="default" w:ascii="Times New Roman" w:hAnsi="Times New Roman" w:cs="Times New Roman"/>
        </w:rPr>
        <w:t>氟硼酸</w:t>
      </w:r>
    </w:p>
    <w:tbl>
      <w:tblPr>
        <w:tblStyle w:val="28"/>
        <w:tblW w:w="5000" w:type="pct"/>
        <w:tblInd w:w="9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58"/>
        <w:gridCol w:w="74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CAS：</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16872-11-0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0" w:type="auto"/>
            <w:shd w:val="clear" w:color="auto" w:fill="auto"/>
            <w:noWrap w:val="0"/>
            <w:vAlign w:val="center"/>
          </w:tcPr>
          <w:p>
            <w:pPr>
              <w:widowControl/>
              <w:wordWrap w:val="0"/>
              <w:spacing w:line="240" w:lineRule="auto"/>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氟硼酸</w:t>
            </w:r>
          </w:p>
          <w:p>
            <w:pPr>
              <w:widowControl/>
              <w:wordWrap w:val="0"/>
              <w:spacing w:line="240" w:lineRule="auto"/>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硼氟酸</w:t>
            </w:r>
          </w:p>
          <w:p>
            <w:pPr>
              <w:widowControl/>
              <w:wordWrap w:val="0"/>
              <w:spacing w:line="240" w:lineRule="auto"/>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borofluoric acid</w:t>
            </w:r>
          </w:p>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fluoroboric acid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分子式：</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HBF</w:t>
            </w:r>
            <w:r>
              <w:rPr>
                <w:rFonts w:hint="default" w:ascii="Times New Roman" w:hAnsi="Times New Roman" w:cs="Times New Roman"/>
                <w:sz w:val="21"/>
                <w:szCs w:val="21"/>
                <w:vertAlign w:val="subscript"/>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分子量：</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87.81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有害物成分：</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氟硼酸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健康危害：</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吸入、口服或经皮肤吸收对身体有害。对眼睛、皮肤、粘膜和呼吸道有强烈刺激作用。吸入后可因喉、支气管的痉挛、水肿、炎症，化学性肺炎、肺水肿而致死。中毒表现有烧灼感、咳嗽、喘息、喉炎、气短、头痛、恶心和呕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燃爆危险：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本品不燃，具强腐蚀性、强刺激性，可致人体灼伤。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皮肤接触：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立即脱去污染的衣着，用大量流动清水冲洗至少15分钟。就医。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眼睛接触：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立即提起眼睑，用大量流动清水或生理盐水彻底冲洗至少15分钟。就医。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吸入：</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迅速脱离现场至空气新鲜处。保持呼吸道通畅。如呼吸困难，给输氧。如呼吸停止，立即进行人工呼吸。就医。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食入：</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用水漱口，给饮牛奶或蛋清。就医。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危险特性：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遇Ｈ发泡剂立即燃烧。受热分解放出有毒的氟化物气体。能腐蚀大多数金属及有机组织。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有害燃烧产物：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氟化氢、氧化硼。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灭火方法：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消防人员必须穿全身耐酸碱消防服。灭火剂：二氧化碳、砂土。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应急处理：</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迅速撤离泄漏污染区人员至安全区，并进行隔离，严格限制出入。建议应急处理人员戴自给正压式呼吸器，穿防酸碱工作服。不要直接接触泄漏物。尽可能切断泄漏源。小量泄漏：用砂土或其它不燃材料吸附或吸收。也可以用大量水冲洗，洗水稀释后放入废水系统。大量泄漏：构筑围堤或挖坑收容。用泵转移至槽车或专用收集器内，回收或运至废物处理场所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操作注意事项：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密闭操作，注意通风。操作尽可能机械化、自动化。操作人员必须经过专门培训，严格遵守操作规程。建议操作人员佩戴自吸过滤式防毒面具（全面罩），穿橡胶耐酸碱服，戴橡胶耐酸碱手套。防止蒸气泄漏到工作场所空气中。避免与碱类接触。搬运时要轻装轻卸，防止包装及容器损坏。配备泄漏应急处理设备。倒空的容器可能残留有害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储存注意事项：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储存于阴凉、通风的库房。远离火种、热源。保持容器密封。应与碱类分开存放，切忌混储。储区应备有泄漏应急处理设备和合适的收容材料。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TLVTN：</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OSHA 2.5mg[F]/m3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工程控制：</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密闭操作，注意通风。尽可能机械化、自动化。提供安全淋浴和洗眼设备。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呼吸系统防护：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可能接触其烟雾时，佩戴自吸过滤式防毒面具（全面罩）或空气呼吸器。紧急事态抢救或撤离时，建议佩戴氧气呼吸器。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眼睛防护：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呼吸系统防护中已作防护。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身体防护：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穿橡胶耐酸碱服。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手防护：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戴橡胶耐酸碱手套。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其他防护：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工作现场禁止吸烟、进食和饮水。工作完毕，淋浴更衣。单独存放被毒物污染的衣服，洗后备用。保持良好的卫生习惯。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主要成分：</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含量 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外观与性状：</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无色透明液体。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沸点(℃)：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130(48%)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相对密度(水=1)：</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1.84(48%)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相对蒸气密度(空气=1)：</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饱和蒸气压(kPa)：</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0.67(20℃)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燃烧热(kJ/mol)：</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闪点(℃)：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引燃温度(℃)：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爆炸上限%(V/V)：</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爆炸下限%(V/V)：</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溶解性：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与水混溶，可混溶于醇。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主要用途：</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铅锡电镀时作导电液，也用作触媒、金属表面活性剂。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禁配物：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强碱。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急性毒性：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LD50：无资料 LC50：无资料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其它有害作用：</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废弃处置方法：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处置前应参阅国家和地方有关法规。中和、稀释后，排入废水系统。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危险货物编号：</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81026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UN编号：</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1775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包装类别：</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O52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包装方法：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装入塑料瓶，特种电木、特种橡胶或铅容器内，严封后再装入坚固木箱中。箱内用不燃材料衬垫妥实；磨砂口玻璃瓶或螺纹口玻璃瓶外普通木箱；安瓿瓶外普通木箱。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运输注意事项：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铁路运输时应严格按照铁道部《危险货物运输规则》中的危险货物配装表进行配装。起运时包装要完整，装载应稳妥。运输过程中要确保容器不泄漏、不倒塌、不坠落、不损坏。严禁与碱类、食用化学品等混装混运。运输时运输车辆应配备泄漏应急处理设备。运输途中应防曝晒、雨淋，防高温。公路运输时要按规定路线行驶，勿在居民区和人口稠密区停留。</w:t>
            </w:r>
          </w:p>
        </w:tc>
      </w:tr>
    </w:tbl>
    <w:p>
      <w:pPr>
        <w:autoSpaceDE w:val="0"/>
        <w:autoSpaceDN w:val="0"/>
        <w:adjustRightInd w:val="0"/>
        <w:spacing w:line="360" w:lineRule="auto"/>
        <w:textAlignment w:val="baseline"/>
        <w:rPr>
          <w:rFonts w:hint="default" w:ascii="Times New Roman" w:hAnsi="Times New Roman" w:cs="Times New Roman"/>
        </w:rPr>
      </w:pPr>
      <w:r>
        <w:rPr>
          <w:rFonts w:hint="default" w:ascii="Times New Roman" w:hAnsi="Times New Roman" w:cs="Times New Roman"/>
        </w:rPr>
        <w:t>氟硅酸钠</w:t>
      </w:r>
    </w:p>
    <w:tbl>
      <w:tblPr>
        <w:tblStyle w:val="28"/>
        <w:tblW w:w="5000" w:type="pct"/>
        <w:tblInd w:w="9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58"/>
        <w:gridCol w:w="74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CAS：</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16893-85-9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0" w:type="auto"/>
            <w:shd w:val="clear" w:color="auto" w:fill="auto"/>
            <w:noWrap w:val="0"/>
            <w:vAlign w:val="center"/>
          </w:tcPr>
          <w:p>
            <w:pPr>
              <w:widowControl/>
              <w:wordWrap w:val="0"/>
              <w:spacing w:line="240" w:lineRule="auto"/>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氟硅化钠</w:t>
            </w:r>
          </w:p>
          <w:p>
            <w:pPr>
              <w:widowControl/>
              <w:wordWrap w:val="0"/>
              <w:spacing w:line="240" w:lineRule="auto"/>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氟硅酸钠</w:t>
            </w:r>
          </w:p>
          <w:p>
            <w:pPr>
              <w:widowControl/>
              <w:wordWrap w:val="0"/>
              <w:spacing w:line="240" w:lineRule="auto"/>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sodium fluosilicate</w:t>
            </w:r>
          </w:p>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sodium silicofluorate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分子式：</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Na</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SiF</w:t>
            </w:r>
            <w:r>
              <w:rPr>
                <w:rFonts w:hint="default" w:ascii="Times New Roman" w:hAnsi="Times New Roman" w:cs="Times New Roman"/>
                <w:sz w:val="21"/>
                <w:szCs w:val="21"/>
                <w:vertAlign w:val="subscript"/>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分子量：</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188.06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有害物成分：</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氟硅酸钠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健康危害：</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误服引起恶心、呕吐、腹痛、腹泻等急性胃肠炎样的急性中毒症状，吐泻物中常含血，严重者可发生抽搐、休克、急性心力衰竭等。可致死。皮肤接触可致皮炎或干裂。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环境危害：</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对环境有危害，对水体可造成污染。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燃爆危险：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本品不燃，有毒。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皮肤接触：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脱去污染的衣着，用流动清水冲洗。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眼睛接触：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提起眼睑，用流动清水或生理盐水冲洗。就医。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吸入：</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脱离现场至空气新鲜处。如呼吸困难，给输氧。就医。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食入：</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饮足量温水，催吐。就医。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危险特性：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不燃。与酸类反应，散发出腐蚀性和刺激性的氟化氢和四氟化硅气体。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有害燃烧产物：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氟化氢、氧化硅、氧化钠。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灭火方法：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消防人员必须穿全身防火防毒服，在上风向灭火。灭火时尽可能将容器从火场移至空旷处。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应急处理：</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隔离泄漏污染区，限制出入。建议应急处理人员戴防尘面具（全面罩），穿防毒服。避免扬尘，小心扫起，置于袋中转移至安全场所。若大量泄漏，用塑料布、帆布覆盖。收集回收或运至废物处理场所处置。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操作注意事项：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密闭操作，局部排风。操作人员必须经过专门培训，严格遵守操作规程。建议操作人员佩戴自吸过滤式防尘口罩，戴化学安全防护眼镜，穿防毒物渗透工作服，戴乳胶手套。避免产生粉尘。避免与氧化剂接触。搬运时轻装轻卸，保持包装完整，防止洒漏。配备泄漏应急处理设备。倒空的容器可能残留有害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储存注意事项：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储存于阴凉、通风的库房。远离火种、热源。应与氧化剂、食用化学品分开存放，切忌混储。储区应备有合适的材料收容泄漏物。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中国MAC(mg/m3)：</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前苏联MAC(mg/m3)：</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0.2[F]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TLVTN：</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ACGIH 2.5mg[F]/m3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TLVWN：</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未制订标准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工程控制：</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密闭操作，局部排风。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呼吸系统防护：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空气中粉尘浓度超标时，建议佩戴自吸过滤式防尘口罩。紧急事态抢救或撤离时，应该佩戴空气呼吸器。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眼睛防护：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戴化学安全防护眼镜。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身体防护：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穿防毒物渗透工作服。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手防护：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戴乳胶手套。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其他防护：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工作完毕，淋浴更衣。注意个人清洁卫生。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主要成分：</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纯品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外观与性状：</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白色颗粒粉末， 无臭无味， 有吸湿性。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相对密度(水=1)：</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2.68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燃烧热(kJ/mol)：</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临界温度(℃)：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临界压力(MPa)：</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闪点(℃)：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引燃温度(℃)：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爆炸上限%(V/V)：</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爆炸下限%(V/V)：</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溶解性：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微溶于水，不溶于乙醇，溶于乙醚等。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主要用途：</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用作搪瓷乳白剂、农业杀虫剂、木材防腐剂等。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其它理化性质：</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禁配物：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强氧化剂。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急性毒性：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LD50：无资料 LC50：无资料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刺激性：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家兔经皮： 500mg，轻度刺激。家兔经眼： 100mg/4 秒（冲洗 ），重度刺激。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其它有害作用：</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该物质对环境有危害，应特别注意对水体的污染。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废弃处置方法：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处置前应参阅国家和地方有关法规。用安全掩埋法处置。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危险货物编号：</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61514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UN编号：</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2674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包装方法：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塑料袋或二层牛皮纸袋外纤维板桶、胶合板桶、硬纸板桶；塑料袋外塑料桶（固体）；塑料桶（液体）；两层塑料袋或一层塑料袋外麻袋、塑料编织袋、乳胶布袋；塑料袋外复合塑料编织袋（聚丙烯三合一袋、聚乙烯三合一袋、聚丙烯二合一袋、聚乙烯二合一袋）；塑料袋或二层牛皮纸袋外普通木箱；螺纹口玻璃瓶、铁盖压口玻璃瓶、塑料瓶或金属桶（罐）外普通木箱；螺纹口玻璃瓶、塑料瓶或镀锡薄钢板桶（罐）外满底板花格箱、纤维板箱或胶合板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运输注意事项：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运输前应先检查包装容器是否完整、密封，运输过程中要确保容器不泄漏、不倒塌、不坠落、不损坏。严禁与酸类、氧化剂、食品及食品添加剂混运。运输时运输车辆应配备泄漏应急处理设备。运输途中应防曝晒、雨淋，防高温。</w:t>
            </w:r>
          </w:p>
        </w:tc>
      </w:tr>
    </w:tbl>
    <w:p>
      <w:pPr>
        <w:autoSpaceDE w:val="0"/>
        <w:autoSpaceDN w:val="0"/>
        <w:adjustRightInd w:val="0"/>
        <w:spacing w:line="360" w:lineRule="auto"/>
        <w:textAlignment w:val="baseline"/>
        <w:rPr>
          <w:rFonts w:hint="default" w:ascii="Times New Roman" w:hAnsi="Times New Roman" w:cs="Times New Roman"/>
        </w:rPr>
      </w:pPr>
      <w:r>
        <w:rPr>
          <w:rFonts w:hint="default" w:ascii="Times New Roman" w:hAnsi="Times New Roman" w:cs="Times New Roman"/>
        </w:rPr>
        <w:t>氟化钡</w:t>
      </w:r>
    </w:p>
    <w:tbl>
      <w:tblPr>
        <w:tblStyle w:val="28"/>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58"/>
        <w:gridCol w:w="74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CAS：</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7787-32-8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4000" w:type="pct"/>
            <w:shd w:val="clear" w:color="auto" w:fill="auto"/>
            <w:noWrap w:val="0"/>
            <w:vAlign w:val="center"/>
          </w:tcPr>
          <w:p>
            <w:pPr>
              <w:widowControl/>
              <w:wordWrap w:val="0"/>
              <w:spacing w:line="240" w:lineRule="auto"/>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氟化钡</w:t>
            </w:r>
          </w:p>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barium fluoride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分子式：</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BaF</w:t>
            </w:r>
            <w:r>
              <w:rPr>
                <w:rFonts w:hint="default" w:ascii="Times New Roman" w:hAnsi="Times New Roman" w:cs="Times New Roman"/>
                <w:sz w:val="21"/>
                <w:szCs w:val="21"/>
                <w:vertAlign w:val="subscript"/>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分子量：</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175.34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有害物成分：</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氟化钡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健康危害：</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对眼睛、皮肤、粘膜和上呼吸道有强烈刺激作用。过量接触，可引起唾液分泌增加、恶心、呕吐、腹痛、发烧、血中钙减少。慢性影响可致骨、韧带、肌腱钙化。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环境危害：</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对环境有危害，对水体可造成污染。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燃爆危险：</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本品不燃，有毒，具强刺激性。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皮肤接触：</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立即脱去污染的衣着，用大量流动清水冲洗。就医。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眼睛接触：</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立即提起眼睑，用大量流动清水或生理盐水彻底冲洗至少15分钟。就医。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吸入：</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迅速脱离现场至空气新鲜处。保持呼吸道通畅。如呼吸困难，给输氧。如呼吸停止，立即进行人工呼吸。就医。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食入：</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饮足量温水，催吐。就医。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危险特性：</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本身不能燃烧。受高热分解放出有毒的气体。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有害燃烧产物：</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氧化钡、氟化氢。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灭火方法：</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消防人员必须穿全身防火防毒服，在上风向灭火。灭火时尽可能将容器从火场移至空旷处。然后根据着火原因选择适当灭火剂灭火。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应急处理：</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隔离泄漏污染区，限制出入。建议应急处理人员戴防尘口罩，穿防毒服。不要直接接触泄漏物。小量泄漏：避免扬尘，小心扫起，收集运至废物处理场所处置。大量泄漏：收集回收或运至废物处理场所处置。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操作注意事项：</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密闭操作，提供充分的局部排风。防止粉尘释放到车间空气中。操作人员必须经过专门培训，严格遵守操作规程。建议操作人员佩戴防尘面具（全面罩），穿胶布防毒衣，戴橡胶手套。避免产生粉尘。避免与碱类、酸类接触。配备泄漏应急处理设备。倒空的容器可能残留有害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储存注意事项：</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储存于阴凉、通风的库房。远离火种、热源。防止阳光直射。包装密封。应与碱类、酸类、食用化学品分开存放，切忌混储。储区应备有合适的材料收容泄漏物。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中国MAC(mg/m3)：</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前苏联MAC(mg/m3)：</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TLVTN：</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0.5mg(Ba)/m3，2.5mg(F)/，m3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监测方法：</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氟试剂-镧盐比色法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工程控制：</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严加密闭，提供充分的局部排风。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呼吸系统防护：</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可能接触其粉尘时，必须佩戴防尘面具（全面罩）。紧急事态抢救或撤离时，应该佩戴空气呼吸器。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眼睛防护：</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呼吸系统防护中已作防护。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身体防护：</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穿胶布防毒衣。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手防护：</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戴橡胶手套。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其他防护：</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工作现场禁止吸烟、进食和饮水。工作完毕，淋浴更衣。保持良好的卫生习惯。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外观与性状：</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白色粉末或无色透明四方晶系结晶。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熔点(℃)：</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沸点(℃)：</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2260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相对密度(水=1)：</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4.8900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燃烧热(kJ/mol)：</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临界温度(℃)：</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临界压力(MPa)：</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闪点(℃)：</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引燃温度(℃)：</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爆炸上限%(V/V)：</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爆炸下限%(V/V)：</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溶解性：</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微溶于水，溶于盐酸、硝酸、氢氟酸、氯化铵。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主要用途：</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用作防腐剂，用于金属热处理及陶瓷、搪瓷、玻璃制造。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其它理化性质：</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1.471(25℃)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禁配物：</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强碱、强酸。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急性毒性：</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LD50：250 mg/kg(大鼠经口) LC50：无资料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其它有害作用：</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该物质对环境有危害，建议不要让其进入环境。应特别注意对水体的污染。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废弃处置方法：</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用安全掩埋法处置。若可能，重复使用容器或在规定场所掩埋。量小时，小心溶解于水中，用碳酸钠中和，如果不能完全溶解，先加入小量盐酸，接着加入碳酸钠，然后加入过量氯化钙沉淀氟化物/ 碳酸盐。滤出固体当作有害废物在规定场所掩埋。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危险货物编号：</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61513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包装方法：</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塑料袋或二层牛皮纸袋外纤维板桶、胶合板桶、硬纸板桶；塑料袋外塑料桶（固体）；塑料桶（液体）；塑料袋外复合塑料编织袋（聚丙烯三合一袋、聚乙烯三合一袋、聚丙烯二合一袋、聚乙烯二合一袋）；塑料袋或二层牛皮纸袋外普通木箱；螺纹口玻璃瓶、铁盖压口玻璃瓶、塑料瓶或金属桶（罐）外普通木箱；螺纹口玻璃瓶、塑料瓶或镀锡薄钢板桶（罐）外满底板花格箱、纤维板箱或胶合板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运输注意事项：</w:t>
            </w:r>
          </w:p>
        </w:tc>
        <w:tc>
          <w:tcPr>
            <w:tcW w:w="4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铁路运输时应严格按照铁道部《危险货物运输规则》中的危险货物配装表进行配装。运输前应先检查包装容器是否完整、密封，运输过程中要确保容器不泄漏、不倒塌、不坠落、不损坏。严禁与酸类、氧化剂、食品及食品添加剂混运。运输时运输车辆应配备泄漏应急处理设备。运输途中应防曝晒、雨淋，防高温。公路运输时要按规定路线行驶，勿在居民区和人口稠密区停留。</w:t>
            </w:r>
          </w:p>
        </w:tc>
      </w:tr>
    </w:tbl>
    <w:p>
      <w:pPr>
        <w:autoSpaceDE w:val="0"/>
        <w:autoSpaceDN w:val="0"/>
        <w:adjustRightInd w:val="0"/>
        <w:spacing w:line="360" w:lineRule="auto"/>
        <w:textAlignment w:val="baseline"/>
        <w:rPr>
          <w:rFonts w:hint="default" w:ascii="Times New Roman" w:hAnsi="Times New Roman" w:cs="Times New Roman"/>
        </w:rPr>
      </w:pPr>
      <w:r>
        <w:rPr>
          <w:rFonts w:hint="default" w:ascii="Times New Roman" w:hAnsi="Times New Roman" w:cs="Times New Roman"/>
        </w:rPr>
        <w:t>氟化钠</w:t>
      </w:r>
    </w:p>
    <w:tbl>
      <w:tblPr>
        <w:tblStyle w:val="28"/>
        <w:tblW w:w="4995" w:type="pct"/>
        <w:tblInd w:w="9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56"/>
        <w:gridCol w:w="742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CAS：</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7681-49-4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氟化钠</w:t>
            </w:r>
          </w:p>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sodium fluoride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分子式：</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NaF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分子量：</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42.00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有害物成分：</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氟化钠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健康危害：</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急性中毒：多为误服所致。服后立即出现剧烈恶心、呕吐、腹痛、腹泻。重者休克、呼吸困难、紫绀。如不及时抢救可致死亡。部分患者出现荨麻疹，吞咽肌麻痹，手足抽搐或四肢肌肉痉挛。短期内吸入大量本品粉尘，引起呼吸道刺激症状，并伴有头昏、头痛、无力及消化道症状。慢性影响：长期较高浓度吸入可引起氟骨症。可致皮炎，重者出现溃疡或大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燃爆危险：</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本品不燃，高毒，具刺激性，严重损害粘膜、上呼吸道、眼睛和皮肤。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皮肤接触：</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脱去污染的衣着，用肥皂水和清水彻底冲洗皮肤。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眼睛接触：</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提起眼睑，用流动清水或生理盐水冲洗。就医。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吸入：</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迅速脱离现场至空气新鲜处。保持呼吸道通畅。如呼吸困难，给输氧。如呼吸停止，立即进行人工呼吸。就医。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食入：</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饮足量温水，催吐。洗胃。就医。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危险特性：</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与酸类反应放出有腐蚀性、刺激性更强的氢氟酸，能腐蚀玻璃。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有害燃烧产物：</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氟化氢。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灭火方法：</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用大量水灭火。用雾状水驱散烟雾与刺激性气体。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应急处理：</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隔离泄漏污染区，限制出入。建议应急处理人员戴防尘面具（全面罩），穿防毒服。不要直接接触泄漏物。小量泄漏：避免扬尘，用洁净的铲子收集于干燥、洁净、有盖的容器中。大量泄漏：用塑料布、帆布覆盖。然后收集回收或运至废物处理场所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操作注意事项：</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密闭操作，局部排风。操作人员必须经过专门培训，严格遵守操作规程。建议操作人员佩戴自吸过滤式防尘口罩，戴化学安全防护眼镜，穿透气型防毒服，戴乳胶手套。避免产生粉尘。避免与酸类接触。搬运时要轻装轻卸，防止包装及容器损坏。配备泄漏应急处理设备。倒空的容器可能残留有害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储存注意事项：</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储存于阴凉、干燥、通风良好的库房。库温不超过30℃，相对湿度不超过80％。包装密封。应与酸类、食用化学品分开存放，切忌混储。储区应备有合适的材料收容泄漏物。应严格执行极毒物品“五双”管理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中国MAC(mg/m3)：</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1[F]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前苏联MAC(mg/m3)：</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1/0.2[F]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TLVTN：</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OSHA 2.5mg[F]/m3; ACGIH 2.5mg[F]/m3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监测方法：</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离子选择性电极法；氟试剂－镧盐比色法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工程控制：</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密闭操作，局部排风。提供安全淋浴和洗眼设备。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呼吸系统防护：</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可能接触其粉尘时，应该佩戴自吸过滤式防尘口罩。紧急事态抢救或撤离时，建议佩戴自给式呼吸器。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眼睛防护：</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戴化学安全防护眼镜。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身体防护：</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穿透气型防毒服。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手防护：</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戴乳胶手套。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其他防护：</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工作现场禁止吸烟、进食和饮水。工作完毕，淋浴更衣。工作服不准带至非作业场所。单独存放被毒物污染的衣服，洗后备用。保持良好的卫生习惯。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主要成分：</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含量: 工业级 一级≥99.0％;二级≥84％。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外观与性状：</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白色粉末或结晶，无臭。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熔点(℃)：</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993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沸点(℃)：</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相对密度(水=1)：</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2.56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饱和蒸气压(kPa)：</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0.13(1077℃)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燃烧热(kJ/mol)：</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闪点(℃)：</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引燃温度(℃)：</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爆炸上限%(V/V)：</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爆炸下限%(V/V)：</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溶解性：</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溶于水，微溶于醇。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主要用途：</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用作杀虫剂、木材防腐剂。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禁配物：</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强酸。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避免接触的条件：</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潮湿空气。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急性毒性：</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LD50：52 mg/kg(大鼠经口)；57 mg/kg(小鼠经口) LC50：无资料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刺激性：</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家兔经眼：20mg/24 小时，中度刺激。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其它有害作用：</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废弃处置方法：</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根据国家和地方有关法规的要求处置。或与厂商或制造商联系，确定处置方法。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危险货物编号：</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61513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UN编号：</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1690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包装类别：</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O53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包装方法：</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塑料袋或二层牛皮纸袋外纤维板桶、胶合板桶、硬纸板桶；塑料袋外塑料桶（固体）；塑料桶（液体）；两层塑料袋或一层塑料袋外麻袋、塑料编织袋、乳胶布袋；塑料袋外复合塑料编织袋（聚丙烯三合一袋、聚乙烯三合一袋、聚丙烯二合一袋、聚乙烯二合一袋）；塑料袋或二层牛皮纸袋外普通木箱；螺纹口玻璃瓶、铁盖压口玻璃瓶、塑料瓶或金属桶（罐）外普通木箱；螺纹口玻璃瓶、塑料瓶或镀锡薄钢板桶（罐）外满底板花格箱、纤维板箱或胶合板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运输注意事项：</w:t>
            </w:r>
          </w:p>
        </w:tc>
        <w:tc>
          <w:tcPr>
            <w:tcW w:w="0" w:type="auto"/>
            <w:shd w:val="clear" w:color="auto" w:fill="auto"/>
            <w:noWrap w:val="0"/>
            <w:vAlign w:val="center"/>
          </w:tcPr>
          <w:p>
            <w:pPr>
              <w:keepNext w:val="0"/>
              <w:keepLines w:val="0"/>
              <w:pageBreakBefore w:val="0"/>
              <w:widowControl/>
              <w:kinsoku/>
              <w:wordWrap w:val="0"/>
              <w:overflowPunct/>
              <w:topLinePunct w:val="0"/>
              <w:autoSpaceDE/>
              <w:autoSpaceDN/>
              <w:bidi w:val="0"/>
              <w:adjustRightInd/>
              <w:snapToGrid/>
              <w:spacing w:line="360" w:lineRule="exact"/>
              <w:jc w:val="both"/>
              <w:textAlignment w:val="auto"/>
              <w:rPr>
                <w:rFonts w:hint="default" w:ascii="Times New Roman" w:hAnsi="Times New Roman" w:cs="Times New Roman"/>
                <w:sz w:val="21"/>
                <w:szCs w:val="21"/>
              </w:rPr>
            </w:pPr>
            <w:r>
              <w:rPr>
                <w:rFonts w:hint="default" w:ascii="Times New Roman" w:hAnsi="Times New Roman" w:cs="Times New Roman"/>
                <w:sz w:val="21"/>
                <w:szCs w:val="21"/>
              </w:rPr>
              <w:t>铁路运输时应严格按照铁道部《危险货物运输规则》中的危险货物配装表进行配装。运输前应先检查包装容器是否完整、密封，运输过程中要确保容器不泄漏、不倒塌、不坠落、不损坏。严禁与酸类、氧化剂、食品及食品添加剂混运。运输时运输车辆应配备泄漏应急处理设备。运输途中应防曝晒、雨淋，防高温。</w:t>
            </w:r>
          </w:p>
        </w:tc>
      </w:tr>
    </w:tbl>
    <w:p>
      <w:pPr>
        <w:autoSpaceDE w:val="0"/>
        <w:autoSpaceDN w:val="0"/>
        <w:adjustRightInd w:val="0"/>
        <w:spacing w:line="360" w:lineRule="auto"/>
        <w:textAlignment w:val="baseline"/>
        <w:rPr>
          <w:rFonts w:hint="default" w:ascii="Times New Roman" w:hAnsi="Times New Roman" w:cs="Times New Roman"/>
        </w:rPr>
      </w:pPr>
    </w:p>
    <w:p>
      <w:pPr>
        <w:autoSpaceDE w:val="0"/>
        <w:autoSpaceDN w:val="0"/>
        <w:adjustRightInd w:val="0"/>
        <w:spacing w:line="360" w:lineRule="auto"/>
        <w:textAlignment w:val="baseline"/>
        <w:rPr>
          <w:rFonts w:hint="default" w:ascii="Times New Roman" w:hAnsi="Times New Roman" w:cs="Times New Roman"/>
        </w:rPr>
      </w:pPr>
      <w:r>
        <w:rPr>
          <w:rFonts w:hint="default" w:ascii="Times New Roman" w:hAnsi="Times New Roman" w:cs="Times New Roman"/>
        </w:rPr>
        <w:br w:type="page"/>
      </w:r>
      <w:r>
        <w:rPr>
          <w:rFonts w:hint="default" w:ascii="Times New Roman" w:hAnsi="Times New Roman" w:cs="Times New Roman"/>
        </w:rPr>
        <w:t>8、氟化氢钠</w:t>
      </w:r>
    </w:p>
    <w:tbl>
      <w:tblPr>
        <w:tblStyle w:val="28"/>
        <w:tblW w:w="5000" w:type="pct"/>
        <w:tblInd w:w="9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58"/>
        <w:gridCol w:w="74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CAS：</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1333-83-1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1000" w:type="pct"/>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0" w:type="auto"/>
            <w:shd w:val="clear" w:color="auto" w:fill="auto"/>
            <w:noWrap w:val="0"/>
            <w:vAlign w:val="top"/>
          </w:tcPr>
          <w:p>
            <w:pPr>
              <w:widowControl/>
              <w:wordWrap w:val="0"/>
              <w:spacing w:line="240" w:lineRule="auto"/>
              <w:jc w:val="left"/>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氟化氢钠</w:t>
            </w:r>
          </w:p>
          <w:p>
            <w:pPr>
              <w:widowControl/>
              <w:wordWrap w:val="0"/>
              <w:spacing w:line="240" w:lineRule="auto"/>
              <w:jc w:val="left"/>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酸式氟化钠</w:t>
            </w:r>
          </w:p>
          <w:p>
            <w:pPr>
              <w:widowControl/>
              <w:wordWrap w:val="0"/>
              <w:spacing w:line="240" w:lineRule="auto"/>
              <w:jc w:val="left"/>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sodium bifluoride</w:t>
            </w:r>
          </w:p>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sodium hydrogen fluoride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分子式：</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NaHF</w:t>
            </w:r>
            <w:r>
              <w:rPr>
                <w:rFonts w:hint="default" w:ascii="Times New Roman" w:hAnsi="Times New Roman" w:cs="Times New Roman"/>
                <w:sz w:val="21"/>
                <w:szCs w:val="21"/>
                <w:vertAlign w:val="subscript"/>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分子量：</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62.00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有害物成分：</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氟化氢钠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健康危害：</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粉尘对皮肤、眼、呼吸道有强烈刺激性，吸入后引起呼吸道粘膜组织破坏和严重肺炎，重者可致死。口服灼伤消化道，大量口服可致死。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环境危害：</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对环境有危害，对水体可造成污染。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燃爆危险：</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本品不燃，高毒，具腐蚀性、刺激性，可致人体灼伤。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皮肤接触：</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用大量流动清水冲洗。就医。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眼睛接触：</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立即提起眼睑，用大量流动清水或生理盐水彻底冲洗至少15分钟。就医。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吸入：</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迅速脱离现场至空气新鲜处。保持呼吸道通畅。如呼吸困难，给输氧。如呼吸停止，立即进行人工呼吸。就医。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食入：</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用水漱口，给饮牛奶或蛋清。就医。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危险特性：</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遇水分解，放出剧毒的氟化氢气体。其水溶液有腐蚀性和强烈的刺激性。受热易分解，燃烧时产生有毒的氯化物气体。受热分解，放出高毒的氟化物烟气。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有害燃烧产物：</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氟化氢、氧化钠。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灭火方法：</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消防人员必须穿全身防火防毒服，在上风向灭火。灭火时尽可能将容器从火场移至空旷处。然后根据着火原因选择适当灭火剂灭火。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应急处理：</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隔离泄漏污染区，限制出入。建议应急处理人员戴防尘口罩，穿防腐防毒服。不要直接接触泄漏物。小量泄漏：避免扬尘，用洁净的铲子收集于干燥、洁净、有盖的容器中。也可以用苏打灰或熟石灰中和。大量泄漏：收集回收或运至废物处理场所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操作注意事项：</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密闭操作，提供充分的局部排风。防止粉尘释放到车间空气中。操作人员必须经过专门培训，严格遵守操作规程。建议操作人员佩戴防尘面具（全面罩），穿橡胶耐酸碱服，戴橡胶耐酸碱手套。避免产生粉尘。避免与酸类接触。尤其要注意避免与水接触。配备泄漏应急处理设备。倒空的容器可能残留有害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储存注意事项：</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储存于阴凉、干燥、通风良好的库房。远离火种、热源。防止阳光直射。包装必须密封，切勿受潮。应与酸类、食用化学品等分开存放，切忌混储。储区应备有合适的材料收容泄漏物。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中国MAC(mg/m3)：</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1(F)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TLVTN：</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2.5mg(F)/m3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监测方法：</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氟试剂-镧盐比色法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工程控制：</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严加密闭，提供充分的局部排风。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呼吸系统防护：</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可能接触其粉尘时，必须佩戴防尘面具（全面罩）。紧急事态抢救或撤离时，应该佩戴空气呼吸器。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眼睛防护：</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呼吸系统防护中已作防护。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身体防护：</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穿橡胶耐酸碱服。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手防护：</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戴橡胶耐酸碱手套。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其他防护：</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工作现场禁止吸烟、进食和饮水。工作完毕，淋浴更衣。保持良好的卫生习惯。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主要成分：</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含量:≥98.0%。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外观与性状：</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无色或白色粉末，有强烈酸味。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熔点(℃)：</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(分解)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相对密度(水=1)：</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2.08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相对蒸气密度(空气=1)：</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2.14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燃烧热(kJ/mol)：</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临界温度(℃)：</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临界压力(MPa)：</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闪点(℃)：</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引燃温度(℃)：</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爆炸上限%(V/V)：</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爆炸下限%(V/V)：</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溶解性：</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溶于水，不溶于醇。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主要用途：</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用于铍的精炼、雕刻玻璃、铸造工业，也用作焊接熔剂、焊条的外皮及防腐剂。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禁配物：</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强酸、水。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避免接触的条件：</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接触潮气可分解。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急性毒性：</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LD50：无资料 LC50：无资料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其它有害作用：</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该物质对环境有危害，建议不要让其进入环境。应特别注意对水体的污染。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废弃处置方法：</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用安全掩埋法处置。用石灰浆清洗倒空的容器。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危险货物编号：</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83004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UN编号：</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2439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包装方法：</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螺纹口玻璃瓶、铁盖压口玻璃瓶、塑料瓶或金属桶（罐）外普通木箱；（内包装限用塑料瓶）。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top"/>
          </w:tcPr>
          <w:p>
            <w:pPr>
              <w:widowControl/>
              <w:wordWrap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运输注意事项：</w:t>
            </w:r>
          </w:p>
        </w:tc>
        <w:tc>
          <w:tcPr>
            <w:tcW w:w="0" w:type="auto"/>
            <w:shd w:val="clear" w:color="auto" w:fill="auto"/>
            <w:noWrap w:val="0"/>
            <w:vAlign w:val="top"/>
          </w:tcPr>
          <w:p>
            <w:pPr>
              <w:widowControl/>
              <w:wordWrap w:val="0"/>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起运时包装要完整，装载应稳妥。运输过程中要确保容器不泄漏、不倒塌、不坠落、不损坏。严禁与酸类、食用化学品等混装混运。运输时运输车辆应配备泄漏应急处理设备。运输途中应防曝晒、雨淋，防高温。公路运输时要按规定路线行驶，勿在居民区和人口稠密区停留。</w:t>
            </w:r>
          </w:p>
        </w:tc>
      </w:tr>
    </w:tbl>
    <w:p>
      <w:pPr>
        <w:autoSpaceDE w:val="0"/>
        <w:autoSpaceDN w:val="0"/>
        <w:adjustRightInd w:val="0"/>
        <w:spacing w:line="360" w:lineRule="auto"/>
        <w:textAlignment w:val="baseline"/>
        <w:rPr>
          <w:rFonts w:hint="default" w:ascii="Times New Roman" w:hAnsi="Times New Roman" w:cs="Times New Roman"/>
        </w:rPr>
      </w:pPr>
      <w:r>
        <w:rPr>
          <w:rFonts w:hint="default" w:ascii="Times New Roman" w:hAnsi="Times New Roman" w:cs="Times New Roman"/>
        </w:rPr>
        <w:t>氟化锌</w:t>
      </w:r>
    </w:p>
    <w:tbl>
      <w:tblPr>
        <w:tblStyle w:val="28"/>
        <w:tblW w:w="5000" w:type="pct"/>
        <w:tblInd w:w="9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58"/>
        <w:gridCol w:w="74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CAS：</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7783-49-5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0" w:type="auto"/>
            <w:shd w:val="clear" w:color="auto" w:fill="auto"/>
            <w:noWrap w:val="0"/>
            <w:vAlign w:val="center"/>
          </w:tcPr>
          <w:p>
            <w:pPr>
              <w:widowControl/>
              <w:wordWrap w:val="0"/>
              <w:spacing w:line="240" w:lineRule="auto"/>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氟化锌</w:t>
            </w:r>
          </w:p>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zinc fluoride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分子式：</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ZnF</w:t>
            </w:r>
            <w:r>
              <w:rPr>
                <w:rFonts w:hint="default" w:ascii="Times New Roman" w:hAnsi="Times New Roman" w:cs="Times New Roman"/>
                <w:sz w:val="21"/>
                <w:szCs w:val="21"/>
                <w:vertAlign w:val="subscript"/>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分子量：</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103.39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有害物成分：</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氟化锌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健康危害：</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本品对眼睛、皮肤有刺激作用。吸入、口服或经皮肤吸收后可能致死。中毒表现有流涎、恶心、呕吐、腹痛、发热等。可引起血钙偏低、氟骨症等。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燃爆危险：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本品不燃，有毒，具刺激性。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皮肤接触：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脱去污染的衣着，用肥皂水和清水彻底冲洗皮肤。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眼睛接触：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提起眼睑，用流动清水或生理盐水冲洗。就医。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吸入：</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迅速脱离现场至空气新鲜处。保持呼吸道通畅。如呼吸困难，给输氧。如呼吸停止，立即进行人工呼吸。就医。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食入：</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饮足量温水，催吐。就医。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危险特性：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能与钾猛烈反应。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有害燃烧产物：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氟化氢。</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灭火方法：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用大量水灭火。用雾状水驱散烟雾与刺激性气体。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应急处理：</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隔离泄漏污染区，限制出入。建议应急处理人员戴防尘面具（全面罩），穿防毒服。不要直接接触泄漏物。小量泄漏：避免扬尘，用洁净的铲子收集于干燥、洁净、有盖的容器中。大量泄漏：用塑料布、帆布覆盖。然后收集回收或运至废物处理场所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操作注意事项：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密闭操作，局部排风。操作人员必须经过专门培训，严格遵守操作规程。建议操作人员佩戴头罩型电动送风过滤式防尘呼吸器，穿胶布防毒衣，戴乳胶手套。避免产生粉尘。避免与氧化剂接触。搬运时要轻装轻卸，防止包装及容器损坏。配备泄漏应急处理设备。倒空的容器可能残留有害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储存注意事项：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储存于阴凉、通风的库房。包装密封。应与氧化剂、食用化学品分开存放，切忌混储。储区应备有合适的材料收容泄漏物。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中国MAC(mg/m3)：</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前苏联MAC(mg/m3)：</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1/0.2[F]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TLVTN：</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OSHA 2.5mg[F]/m3; ACGIH 2.5mg[F]/m3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监测方法：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离子选择性电极法；氟试剂－镧盐比色法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工程控制：</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密闭操作，局部排风。提供安全淋浴和洗眼设备。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呼吸系统防护：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可能接触其粉尘时，应该佩戴头罩型电动送风过滤式防尘呼吸器。紧急事态抢救或撤离时，建议佩戴自给式呼吸器。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眼睛防护：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呼吸系统防护中已作防护。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身体防护：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穿胶布防毒衣。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手防护：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戴乳胶手套。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其他防护：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工作现场禁止吸烟、进食和饮水。工作完毕，淋浴更衣。工作服不准带至非作业场所。单独存放被毒物污染的衣服，洗后备用。保持良好的卫生习惯。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主要成分：</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纯品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外观与性状：</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白色结晶粉末。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熔点(℃)：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872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沸点(℃)：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1497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相对密度(水=1)：</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4.84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饱和蒸气压(kPa)：</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0.13(970℃)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燃烧热(kJ/mol)：</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闪点(℃)：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引燃温度(℃)：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爆炸上限%(V/V)：</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爆炸下限%(V/V)：</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溶解性：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微溶于冷水，溶于热水、热酸，不溶于醇。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主要用途：</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用作分析试剂。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禁配物：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强氧化剂。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急性毒性：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LD50：无资料 LC50：无资料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其它有害作用：</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废弃处置方法：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根据国家和地方有关法规的要求处置。或与厂商或制造商联系，确定处置方法。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危险货物编号：</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61513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包装类别：</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O53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包装方法：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塑料袋或二层牛皮纸袋外纤维板桶、胶合板桶、硬纸板桶；塑料袋外塑料桶（固体）；塑料桶（液体）；两层塑料袋或一层塑料袋外麻袋、塑料编织袋、乳胶布袋；塑料袋外复合塑料编织袋（聚丙烯三合一袋、聚乙烯三合一袋、聚丙烯二合一袋、聚乙烯二合一袋）；塑料袋或二层牛皮纸袋外普通木箱；螺纹口玻璃瓶、铁盖压口玻璃瓶、塑料瓶或金属桶（罐）外普通木箱；螺纹口玻璃瓶、塑料瓶或镀锡薄钢板桶（罐）外满底板花格箱、纤维板箱或胶合板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运输注意事项：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运输前应先检查包装容器是否完整、密封，运输过程中要确保容器不泄漏、不倒塌、不坠落、不损坏。严禁与酸类、氧化剂、食品及食品添加剂混运。运输时运输车辆应配备泄漏应急处理设备。运输途中应防曝晒、雨淋，防高温。</w:t>
            </w:r>
          </w:p>
        </w:tc>
      </w:tr>
    </w:tbl>
    <w:p>
      <w:pPr>
        <w:autoSpaceDE w:val="0"/>
        <w:autoSpaceDN w:val="0"/>
        <w:adjustRightInd w:val="0"/>
        <w:spacing w:line="360" w:lineRule="auto"/>
        <w:textAlignment w:val="baseline"/>
        <w:rPr>
          <w:rFonts w:hint="default" w:ascii="Times New Roman" w:hAnsi="Times New Roman" w:cs="Times New Roman"/>
        </w:rPr>
      </w:pPr>
      <w:r>
        <w:rPr>
          <w:rFonts w:hint="default" w:ascii="Times New Roman" w:hAnsi="Times New Roman" w:cs="Times New Roman"/>
        </w:rPr>
        <w:t>氟化锂</w:t>
      </w:r>
    </w:p>
    <w:tbl>
      <w:tblPr>
        <w:tblStyle w:val="28"/>
        <w:tblW w:w="5000" w:type="pct"/>
        <w:tblInd w:w="9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58"/>
        <w:gridCol w:w="74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CAS：</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7789-24-4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000" w:type="pct"/>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0" w:type="auto"/>
            <w:shd w:val="clear" w:color="auto" w:fill="auto"/>
            <w:noWrap w:val="0"/>
            <w:vAlign w:val="center"/>
          </w:tcPr>
          <w:p>
            <w:pPr>
              <w:widowControl/>
              <w:wordWrap w:val="0"/>
              <w:spacing w:line="240" w:lineRule="auto"/>
              <w:jc w:val="both"/>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氟化锂</w:t>
            </w:r>
          </w:p>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lithium fluoride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分子式：</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LiF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分子量：</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25.94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有害物成分：</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氟化锂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健康危害：</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吸入、摄入或经皮吸收会中毒。具刺激性。大剂量可引起眩晕、虚脱。对肾脏有损害。过量接触引起唾液分泌增加、恶心、呕吐、腹痛、发烧、呼吸困难等。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环境危害：</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对环境有危害，对水体可造成污染。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燃爆危险：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本品不燃，有毒，具刺激性。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皮肤接触：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立即脱去污染的衣着，用大量流动清水冲洗。就医。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眼睛接触：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提起眼睑，用流动清水或生理盐水冲洗。就医。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吸入：</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迅速脱离现场至空气新鲜处。保持呼吸道通畅。如呼吸困难，给输氧。如呼吸停止，立即进行人工呼吸。就医。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食入：</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饮足量温水，催吐。就医。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危险特性：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遇酸分解，放出腐蚀性的氟化氢气体。遇高热分解释出高毒烟气。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有害燃烧产物：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氟化氢、氧化锂。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灭火方法：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消防人员必须穿全身防火防毒服，在上风向灭火。灭火时尽可能将容器从火场移至空旷处。然后根据着火原因选择适当灭火剂灭火。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应急处理：</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隔离泄漏污染区，限制出入。建议应急处理人员戴防尘口罩，穿防毒服。不要直接接触泄漏物。小量泄漏：避免扬尘，小心扫起，转移至安全场所。大量泄漏：收集回收或运至废物处理场所处置。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操作注意事项：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密闭操作，局部排风。防止粉尘释放到车间空气中。操作人员必须经过专门培训，严格遵守操作规程。建议操作人员佩戴自吸过滤式防尘口罩，戴化学安全防护眼镜，穿防毒物渗透工作服，戴橡胶手套。避免产生粉尘。避免与氧化剂、酸类接触。配备泄漏应急处理设备。倒空的容器可能残留有害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储存注意事项：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储存于阴凉、通风的库房。远离火种、热源。防止阳光直射。包装密封。应与氧化剂、酸类、食用化学品分开存放，切忌混储。储区应备有合适的材料收容泄漏物。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中国MAC(mg/m3)：</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1(F)</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TLVTN：</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2.5mg(F)/m</w:t>
            </w:r>
            <w:r>
              <w:rPr>
                <w:rFonts w:hint="default" w:ascii="Times New Roman" w:hAnsi="Times New Roman" w:cs="Times New Roman"/>
                <w:sz w:val="21"/>
                <w:szCs w:val="21"/>
                <w:vertAlign w:val="superscript"/>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监测方法：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氟试剂-镧盐比色法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工程控制：</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密闭操作，局部排风。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呼吸系统防护：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空气中粉尘浓度超标时，必须佩戴自吸过滤式防尘口罩。紧急事态抢救或撤离时，应该佩戴空气呼吸器。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眼睛防护：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戴化学安全防护眼镜。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身体防护：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穿防毒物渗透工作服。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手防护：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戴橡胶手套。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其他防护：</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工作场所禁止吸烟、进食和饮水，饭前要洗手。工作完毕，淋浴更衣。保持良好的卫生习惯。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外观与性状：</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白色粉末或立方晶体。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熔点(℃)：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848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沸点(℃)：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1681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相对密度(水=1)：</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2.6350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饱和蒸气压(kPa)：</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0.133(1047℃)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燃烧热(kJ/mol)：</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临界温度(℃)：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临界压力(MPa)：</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闪点(℃)：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引燃温度(℃)：</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爆炸上限%(V/V)：</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爆炸下限%(V/V)：</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无意义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溶解性：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难溶于水，不溶于醇，溶于酸。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主要用途：</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用于搪瓷、玻璃、釉和焊接中作助熔剂。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其它理化性质：</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1.3915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禁配物：</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强氧化剂、强酸。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急性毒性：</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LD50：200 mg/kg(豚鼠经口)N02 LC50：无资料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其它有害作用：</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该物质对环境有危害，应特别注意对水体的污染。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废弃处置方法：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用安全掩埋法处置。在能利用的地方重复使用容器或在规定场所掩埋。量小时，小心溶解于水中，用碳酸钠中和，如果不能完全溶解，先加入小量盐酸，接着加入碳酸钠，然后加入过量氯化钙沉淀氟化物/ 碳酸盐。滤出固体当作有害废物在规定场所掩埋。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危险货物编号：</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61513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包装方法：</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塑料袋或二层牛皮纸袋外纤维板桶、胶合板桶、硬纸板桶；塑料袋外塑料桶（固体）；塑料桶（液体）；塑料袋外复合塑料编织袋（聚丙烯三合一袋、聚乙烯三合一袋、聚丙烯二合一袋、聚乙烯二合一袋）；塑料袋或二层牛皮纸袋外普通木箱；螺纹口玻璃瓶、铁盖压口玻璃瓶、塑料瓶或金属桶（罐）外普通木箱；螺纹口玻璃瓶、塑料瓶或镀锡薄钢板桶（罐）外满底板花格箱、纤维板箱或胶合板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运输注意事项：</w:t>
            </w:r>
          </w:p>
        </w:tc>
        <w:tc>
          <w:tcPr>
            <w:tcW w:w="0" w:type="auto"/>
            <w:shd w:val="clear" w:color="auto" w:fill="auto"/>
            <w:noWrap w:val="0"/>
            <w:vAlign w:val="center"/>
          </w:tcPr>
          <w:p>
            <w:pPr>
              <w:widowControl/>
              <w:wordWrap w:val="0"/>
              <w:spacing w:line="240" w:lineRule="auto"/>
              <w:jc w:val="both"/>
              <w:rPr>
                <w:rFonts w:hint="default" w:ascii="Times New Roman" w:hAnsi="Times New Roman" w:cs="Times New Roman"/>
                <w:sz w:val="21"/>
                <w:szCs w:val="21"/>
              </w:rPr>
            </w:pPr>
            <w:r>
              <w:rPr>
                <w:rFonts w:hint="default" w:ascii="Times New Roman" w:hAnsi="Times New Roman" w:cs="Times New Roman"/>
                <w:sz w:val="21"/>
                <w:szCs w:val="21"/>
              </w:rPr>
              <w:t>运输前应先检查包装容器是否完整、密封，运输过程中要确保容器不泄漏、不倒塌、不坠落、不损坏。严禁与酸类、氧化剂、食品及食品添加剂混运。运输时运输车辆应配备泄漏应急处理设备。运输途中应防曝晒、雨淋，防高温。公路运输时要按规定路线行驶，勿在居民区和人口稠密区停留。</w:t>
            </w:r>
          </w:p>
        </w:tc>
      </w:tr>
    </w:tbl>
    <w:p>
      <w:pPr>
        <w:pStyle w:val="3"/>
        <w:rPr>
          <w:rFonts w:hint="default" w:ascii="Times New Roman" w:hAnsi="Times New Roman" w:cs="Times New Roman"/>
        </w:rPr>
      </w:pPr>
      <w:r>
        <w:rPr>
          <w:rFonts w:hint="default" w:ascii="Times New Roman" w:hAnsi="Times New Roman" w:cs="Times New Roman"/>
        </w:rPr>
        <w:br w:type="page"/>
      </w:r>
      <w:bookmarkStart w:id="127" w:name="_Toc10251"/>
      <w:r>
        <w:rPr>
          <w:rFonts w:hint="default" w:ascii="Times New Roman" w:hAnsi="Times New Roman" w:cs="Times New Roman"/>
        </w:rPr>
        <w:t>附件C定性、定量分析过程</w:t>
      </w:r>
      <w:bookmarkEnd w:id="127"/>
    </w:p>
    <w:p>
      <w:pPr>
        <w:ind w:firstLine="560" w:firstLineChars="200"/>
        <w:rPr>
          <w:rFonts w:hint="default" w:ascii="Times New Roman" w:hAnsi="Times New Roman" w:cs="Times New Roman"/>
        </w:rPr>
      </w:pPr>
      <w:r>
        <w:rPr>
          <w:rFonts w:hint="default" w:ascii="Times New Roman" w:hAnsi="Times New Roman" w:cs="Times New Roman"/>
        </w:rPr>
        <w:t>根据《安全评价通则》AQ9001-2007及《危险化学品生产企业安全评价导则（试行）》的规定，采用安全检查表方法，对该</w:t>
      </w:r>
      <w:r>
        <w:rPr>
          <w:rFonts w:hint="eastAsia" w:cs="Times New Roman"/>
          <w:lang w:val="en-US" w:eastAsia="zh-CN"/>
        </w:rPr>
        <w:t>企业</w:t>
      </w:r>
      <w:r>
        <w:rPr>
          <w:rFonts w:hint="default" w:ascii="Times New Roman" w:hAnsi="Times New Roman" w:cs="Times New Roman"/>
        </w:rPr>
        <w:t>涉及危险化学品生产的场所进行现场检查和分析评价。依据相关法律法规、规章、标准、规范，分别对选址及周边环境、总平面布置、工艺安全及设备设施、安全设施、特种设备、常规防护及安全生产管理等方面编制安全检查表进行检查评价。</w:t>
      </w:r>
    </w:p>
    <w:p>
      <w:pPr>
        <w:pStyle w:val="4"/>
        <w:rPr>
          <w:rFonts w:hint="default" w:ascii="Times New Roman" w:hAnsi="Times New Roman" w:cs="Times New Roman"/>
        </w:rPr>
      </w:pPr>
      <w:bookmarkStart w:id="128" w:name="_Toc13219"/>
      <w:bookmarkStart w:id="129" w:name="_Toc5132"/>
      <w:bookmarkStart w:id="130" w:name="_Toc21611"/>
      <w:r>
        <w:rPr>
          <w:rFonts w:hint="default" w:ascii="Times New Roman" w:hAnsi="Times New Roman" w:cs="Times New Roman"/>
        </w:rPr>
        <w:t>C.1厂址及周边环境单元</w:t>
      </w:r>
      <w:bookmarkEnd w:id="128"/>
      <w:bookmarkEnd w:id="129"/>
      <w:bookmarkEnd w:id="130"/>
    </w:p>
    <w:p>
      <w:pPr>
        <w:ind w:firstLine="560" w:firstLineChars="200"/>
        <w:rPr>
          <w:rFonts w:hint="default" w:ascii="Times New Roman" w:hAnsi="Times New Roman" w:cs="Times New Roman"/>
        </w:rPr>
      </w:pPr>
      <w:r>
        <w:rPr>
          <w:rFonts w:hint="default" w:ascii="Times New Roman" w:hAnsi="Times New Roman" w:cs="Times New Roman"/>
        </w:rPr>
        <w:t>上饶市广氟医药化工有限公司位于上饶市广丰区洋口镇青桥寒婆岭。该企业址占地约</w:t>
      </w:r>
      <w:r>
        <w:rPr>
          <w:rFonts w:hint="eastAsia" w:cs="Times New Roman"/>
          <w:lang w:eastAsia="zh-CN"/>
        </w:rPr>
        <w:t>20064.9</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。厂区所在地总体工程地质情况良好，无山体滑坡、塌陷、溶洞、软弱土层等不良地质。</w:t>
      </w:r>
    </w:p>
    <w:p>
      <w:pPr>
        <w:ind w:firstLine="560" w:firstLineChars="200"/>
        <w:rPr>
          <w:rFonts w:hint="default" w:ascii="Times New Roman" w:hAnsi="Times New Roman" w:cs="Times New Roman"/>
        </w:rPr>
      </w:pPr>
      <w:r>
        <w:rPr>
          <w:rFonts w:hint="default" w:ascii="Times New Roman" w:hAnsi="Times New Roman" w:cs="Times New Roman"/>
        </w:rPr>
        <w:t>上饶市广氟医药化工有限公司东侧为上饶京新药业有限公司距离为190m和10KV高压线（埋地）；北侧为厂区门卫宿舍、上饶市芦林纸业有限公司、S320省道距离为280m、寒婆岭距离为276m和瓦窑后的民房距离为424m；南侧为丰溪河距离20m和洲里夏家的民房距离280m；西侧为零星的散户。</w:t>
      </w:r>
    </w:p>
    <w:p>
      <w:pPr>
        <w:ind w:firstLine="560" w:firstLineChars="200"/>
        <w:rPr>
          <w:rFonts w:hint="default" w:ascii="Times New Roman" w:hAnsi="Times New Roman" w:eastAsia="宋体" w:cs="Times New Roman"/>
          <w:lang w:eastAsia="zh-CN"/>
        </w:rPr>
      </w:pPr>
      <w:r>
        <w:rPr>
          <w:rFonts w:hint="default" w:ascii="Times New Roman" w:hAnsi="Times New Roman" w:cs="Times New Roman"/>
        </w:rPr>
        <w:t>厂址周边1000m范围内无商业中心、公园等人员密集场所及重要公共设施。项目周边</w:t>
      </w:r>
      <w:r>
        <w:rPr>
          <w:rFonts w:hint="eastAsia" w:cs="Times New Roman"/>
          <w:lang w:val="en-US" w:eastAsia="zh-CN"/>
        </w:rPr>
        <w:t>5</w:t>
      </w:r>
      <w:r>
        <w:rPr>
          <w:rFonts w:hint="default" w:ascii="Times New Roman" w:hAnsi="Times New Roman" w:cs="Times New Roman"/>
        </w:rPr>
        <w:t>00m范围内无基本农田保护区、基本草原、畜禽遗传资源保护区、畜禽规模化养殖场（养殖小区）、渔业水域以及种子、种畜禽、水产苗种生产基地；项目周边</w:t>
      </w:r>
      <w:r>
        <w:rPr>
          <w:rFonts w:hint="eastAsia" w:cs="Times New Roman"/>
          <w:lang w:val="en-US" w:eastAsia="zh-CN"/>
        </w:rPr>
        <w:t>5</w:t>
      </w:r>
      <w:r>
        <w:rPr>
          <w:rFonts w:hint="default" w:ascii="Times New Roman" w:hAnsi="Times New Roman" w:cs="Times New Roman"/>
        </w:rPr>
        <w:t>00m范围内无风景名胜区和自然保护区。项目周边无军事禁区、军事管理区；项目周边无法律、行政法规规定予以保护的其他区域。企业周边环境见下表</w:t>
      </w:r>
      <w:r>
        <w:rPr>
          <w:rFonts w:hint="default" w:ascii="Times New Roman" w:hAnsi="Times New Roman" w:cs="Times New Roman"/>
          <w:lang w:eastAsia="zh-CN"/>
        </w:rPr>
        <w:t>：</w:t>
      </w:r>
    </w:p>
    <w:p>
      <w:pPr>
        <w:rPr>
          <w:rFonts w:hint="default" w:ascii="Times New Roman" w:hAnsi="Times New Roman" w:cs="Times New Roman"/>
        </w:rPr>
      </w:pPr>
      <w:r>
        <w:rPr>
          <w:rFonts w:hint="default" w:ascii="Times New Roman" w:hAnsi="Times New Roman" w:cs="Times New Roman"/>
        </w:rPr>
        <w:br w:type="page"/>
      </w:r>
    </w:p>
    <w:p>
      <w:pPr>
        <w:ind w:firstLine="560" w:firstLineChars="200"/>
        <w:jc w:val="center"/>
        <w:rPr>
          <w:rFonts w:hint="default" w:ascii="Times New Roman" w:hAnsi="Times New Roman" w:cs="Times New Roman"/>
        </w:rPr>
      </w:pPr>
      <w:r>
        <w:rPr>
          <w:rFonts w:hint="default" w:ascii="Times New Roman" w:hAnsi="Times New Roman" w:cs="Times New Roman"/>
        </w:rPr>
        <w:t xml:space="preserve">附表C.1-1 </w:t>
      </w:r>
      <w:r>
        <w:rPr>
          <w:rFonts w:hint="default" w:ascii="Times New Roman" w:hAnsi="Times New Roman" w:cs="Times New Roman"/>
          <w:lang w:val="en-US" w:eastAsia="zh-CN"/>
        </w:rPr>
        <w:t>该公司</w:t>
      </w:r>
      <w:r>
        <w:rPr>
          <w:rFonts w:hint="default" w:ascii="Times New Roman" w:hAnsi="Times New Roman" w:cs="Times New Roman"/>
        </w:rPr>
        <w:t>厂址及周边环境距离一览表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990"/>
        <w:gridCol w:w="1570"/>
        <w:gridCol w:w="1144"/>
        <w:gridCol w:w="1912"/>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方位</w:t>
            </w:r>
          </w:p>
        </w:tc>
        <w:tc>
          <w:tcPr>
            <w:tcW w:w="1990"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相对情况</w:t>
            </w:r>
          </w:p>
        </w:tc>
        <w:tc>
          <w:tcPr>
            <w:tcW w:w="1570"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项目最近建筑物与周边距离（m）</w:t>
            </w:r>
          </w:p>
        </w:tc>
        <w:tc>
          <w:tcPr>
            <w:tcW w:w="1144"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规范距离（m）</w:t>
            </w:r>
          </w:p>
        </w:tc>
        <w:tc>
          <w:tcPr>
            <w:tcW w:w="1912"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检查依据</w:t>
            </w:r>
          </w:p>
        </w:tc>
        <w:tc>
          <w:tcPr>
            <w:tcW w:w="1897"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东面</w:t>
            </w:r>
          </w:p>
        </w:tc>
        <w:tc>
          <w:tcPr>
            <w:tcW w:w="1990"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上饶京新药业有限公司（</w:t>
            </w:r>
            <w:r>
              <w:rPr>
                <w:rFonts w:hint="eastAsia" w:cs="Times New Roman"/>
                <w:bCs/>
                <w:sz w:val="21"/>
                <w:szCs w:val="21"/>
                <w:lang w:val="en-US" w:eastAsia="zh-CN"/>
              </w:rPr>
              <w:t>甲</w:t>
            </w:r>
            <w:r>
              <w:rPr>
                <w:rFonts w:hint="default" w:ascii="Times New Roman" w:hAnsi="Times New Roman" w:cs="Times New Roman"/>
                <w:bCs/>
                <w:sz w:val="21"/>
                <w:szCs w:val="21"/>
              </w:rPr>
              <w:t>类车间）</w:t>
            </w:r>
          </w:p>
        </w:tc>
        <w:tc>
          <w:tcPr>
            <w:tcW w:w="1570"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190</w:t>
            </w:r>
          </w:p>
        </w:tc>
        <w:tc>
          <w:tcPr>
            <w:tcW w:w="1144" w:type="dxa"/>
            <w:noWrap w:val="0"/>
            <w:vAlign w:val="center"/>
          </w:tcPr>
          <w:p>
            <w:pPr>
              <w:spacing w:line="240" w:lineRule="auto"/>
              <w:jc w:val="center"/>
              <w:rPr>
                <w:rFonts w:hint="eastAsia" w:ascii="Times New Roman" w:hAnsi="Times New Roman" w:eastAsia="宋体" w:cs="Times New Roman"/>
                <w:bCs/>
                <w:sz w:val="21"/>
                <w:szCs w:val="21"/>
                <w:lang w:eastAsia="zh-CN"/>
              </w:rPr>
            </w:pPr>
            <w:r>
              <w:rPr>
                <w:rFonts w:hint="default" w:ascii="Times New Roman" w:hAnsi="Times New Roman" w:cs="Times New Roman"/>
                <w:bCs/>
                <w:sz w:val="21"/>
                <w:szCs w:val="21"/>
              </w:rPr>
              <w:t>1</w:t>
            </w:r>
            <w:r>
              <w:rPr>
                <w:rFonts w:hint="eastAsia" w:cs="Times New Roman"/>
                <w:bCs/>
                <w:sz w:val="21"/>
                <w:szCs w:val="21"/>
                <w:lang w:val="en-US" w:eastAsia="zh-CN"/>
              </w:rPr>
              <w:t>2</w:t>
            </w:r>
          </w:p>
        </w:tc>
        <w:tc>
          <w:tcPr>
            <w:tcW w:w="1912"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《建筑设计防火规范》（2018版）3.4.1</w:t>
            </w:r>
          </w:p>
        </w:tc>
        <w:tc>
          <w:tcPr>
            <w:tcW w:w="1897"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restart"/>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北面</w:t>
            </w:r>
          </w:p>
        </w:tc>
        <w:tc>
          <w:tcPr>
            <w:tcW w:w="1990"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厂区门卫</w:t>
            </w:r>
          </w:p>
        </w:tc>
        <w:tc>
          <w:tcPr>
            <w:tcW w:w="1570"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200</w:t>
            </w:r>
          </w:p>
        </w:tc>
        <w:tc>
          <w:tcPr>
            <w:tcW w:w="1144"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10</w:t>
            </w:r>
          </w:p>
        </w:tc>
        <w:tc>
          <w:tcPr>
            <w:tcW w:w="1912"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《建筑设计防火规范》（2018版）3.4.1</w:t>
            </w:r>
          </w:p>
        </w:tc>
        <w:tc>
          <w:tcPr>
            <w:tcW w:w="1897"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noWrap w:val="0"/>
            <w:vAlign w:val="center"/>
          </w:tcPr>
          <w:p>
            <w:pPr>
              <w:spacing w:line="240" w:lineRule="auto"/>
              <w:jc w:val="center"/>
              <w:rPr>
                <w:rFonts w:hint="default" w:ascii="Times New Roman" w:hAnsi="Times New Roman" w:cs="Times New Roman"/>
                <w:bCs/>
                <w:sz w:val="21"/>
                <w:szCs w:val="21"/>
              </w:rPr>
            </w:pPr>
          </w:p>
        </w:tc>
        <w:tc>
          <w:tcPr>
            <w:tcW w:w="1990" w:type="dxa"/>
            <w:noWrap w:val="0"/>
            <w:vAlign w:val="center"/>
          </w:tcPr>
          <w:p>
            <w:pPr>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上饶市芦林纸业有限公司（丙类车间）</w:t>
            </w:r>
          </w:p>
        </w:tc>
        <w:tc>
          <w:tcPr>
            <w:tcW w:w="1570"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189</w:t>
            </w:r>
          </w:p>
        </w:tc>
        <w:tc>
          <w:tcPr>
            <w:tcW w:w="1144"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10</w:t>
            </w:r>
          </w:p>
        </w:tc>
        <w:tc>
          <w:tcPr>
            <w:tcW w:w="1912"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《建筑设计防火规范》（2018版）3.4.1</w:t>
            </w:r>
          </w:p>
        </w:tc>
        <w:tc>
          <w:tcPr>
            <w:tcW w:w="1897"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noWrap w:val="0"/>
            <w:vAlign w:val="center"/>
          </w:tcPr>
          <w:p>
            <w:pPr>
              <w:spacing w:line="240" w:lineRule="auto"/>
              <w:jc w:val="center"/>
              <w:rPr>
                <w:rFonts w:hint="default" w:ascii="Times New Roman" w:hAnsi="Times New Roman" w:cs="Times New Roman"/>
                <w:bCs/>
                <w:sz w:val="21"/>
                <w:szCs w:val="21"/>
              </w:rPr>
            </w:pPr>
          </w:p>
        </w:tc>
        <w:tc>
          <w:tcPr>
            <w:tcW w:w="1990" w:type="dxa"/>
            <w:noWrap w:val="0"/>
            <w:vAlign w:val="center"/>
          </w:tcPr>
          <w:p>
            <w:pPr>
              <w:spacing w:line="240" w:lineRule="auto"/>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拟建工贸企业</w:t>
            </w:r>
          </w:p>
        </w:tc>
        <w:tc>
          <w:tcPr>
            <w:tcW w:w="1570" w:type="dxa"/>
            <w:noWrap w:val="0"/>
            <w:vAlign w:val="center"/>
          </w:tcPr>
          <w:p>
            <w:pPr>
              <w:spacing w:line="240" w:lineRule="auto"/>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150</w:t>
            </w:r>
          </w:p>
        </w:tc>
        <w:tc>
          <w:tcPr>
            <w:tcW w:w="1144" w:type="dxa"/>
            <w:noWrap w:val="0"/>
            <w:vAlign w:val="center"/>
          </w:tcPr>
          <w:p>
            <w:pPr>
              <w:spacing w:line="240" w:lineRule="auto"/>
              <w:jc w:val="center"/>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10</w:t>
            </w:r>
          </w:p>
        </w:tc>
        <w:tc>
          <w:tcPr>
            <w:tcW w:w="1912"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《建筑设计防火规范》（2018版）3.4.1</w:t>
            </w:r>
          </w:p>
        </w:tc>
        <w:tc>
          <w:tcPr>
            <w:tcW w:w="1897" w:type="dxa"/>
            <w:noWrap w:val="0"/>
            <w:vAlign w:val="center"/>
          </w:tcPr>
          <w:p>
            <w:pPr>
              <w:spacing w:line="240" w:lineRule="auto"/>
              <w:jc w:val="center"/>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noWrap w:val="0"/>
            <w:vAlign w:val="center"/>
          </w:tcPr>
          <w:p>
            <w:pPr>
              <w:spacing w:line="240" w:lineRule="auto"/>
              <w:jc w:val="center"/>
              <w:rPr>
                <w:rFonts w:hint="default" w:ascii="Times New Roman" w:hAnsi="Times New Roman" w:cs="Times New Roman"/>
                <w:bCs/>
                <w:sz w:val="21"/>
                <w:szCs w:val="21"/>
              </w:rPr>
            </w:pPr>
          </w:p>
        </w:tc>
        <w:tc>
          <w:tcPr>
            <w:tcW w:w="1990" w:type="dxa"/>
            <w:noWrap w:val="0"/>
            <w:vAlign w:val="center"/>
          </w:tcPr>
          <w:p>
            <w:pPr>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寒婆岭民房</w:t>
            </w:r>
          </w:p>
          <w:p>
            <w:pPr>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（约100人）</w:t>
            </w:r>
          </w:p>
        </w:tc>
        <w:tc>
          <w:tcPr>
            <w:tcW w:w="1570"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276</w:t>
            </w:r>
          </w:p>
        </w:tc>
        <w:tc>
          <w:tcPr>
            <w:tcW w:w="1144"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10</w:t>
            </w:r>
          </w:p>
        </w:tc>
        <w:tc>
          <w:tcPr>
            <w:tcW w:w="1912"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《建筑设计防火规范》（2018版）3.4.1</w:t>
            </w:r>
          </w:p>
        </w:tc>
        <w:tc>
          <w:tcPr>
            <w:tcW w:w="1897"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noWrap w:val="0"/>
            <w:vAlign w:val="center"/>
          </w:tcPr>
          <w:p>
            <w:pPr>
              <w:spacing w:line="240" w:lineRule="auto"/>
              <w:jc w:val="center"/>
              <w:rPr>
                <w:rFonts w:hint="default" w:ascii="Times New Roman" w:hAnsi="Times New Roman" w:cs="Times New Roman"/>
                <w:bCs/>
                <w:sz w:val="21"/>
                <w:szCs w:val="21"/>
              </w:rPr>
            </w:pPr>
          </w:p>
        </w:tc>
        <w:tc>
          <w:tcPr>
            <w:tcW w:w="1990" w:type="dxa"/>
            <w:noWrap w:val="0"/>
            <w:vAlign w:val="center"/>
          </w:tcPr>
          <w:p>
            <w:pPr>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上广公路</w:t>
            </w:r>
          </w:p>
        </w:tc>
        <w:tc>
          <w:tcPr>
            <w:tcW w:w="1570"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280</w:t>
            </w:r>
          </w:p>
        </w:tc>
        <w:tc>
          <w:tcPr>
            <w:tcW w:w="1144"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100</w:t>
            </w:r>
          </w:p>
        </w:tc>
        <w:tc>
          <w:tcPr>
            <w:tcW w:w="1912"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《公路安全保护条例》</w:t>
            </w:r>
          </w:p>
        </w:tc>
        <w:tc>
          <w:tcPr>
            <w:tcW w:w="1897"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noWrap w:val="0"/>
            <w:vAlign w:val="center"/>
          </w:tcPr>
          <w:p>
            <w:pPr>
              <w:spacing w:line="240" w:lineRule="auto"/>
              <w:jc w:val="center"/>
              <w:rPr>
                <w:rFonts w:hint="default" w:ascii="Times New Roman" w:hAnsi="Times New Roman" w:cs="Times New Roman"/>
                <w:bCs/>
                <w:sz w:val="21"/>
                <w:szCs w:val="21"/>
              </w:rPr>
            </w:pPr>
          </w:p>
        </w:tc>
        <w:tc>
          <w:tcPr>
            <w:tcW w:w="1990" w:type="dxa"/>
            <w:noWrap w:val="0"/>
            <w:vAlign w:val="center"/>
          </w:tcPr>
          <w:p>
            <w:pPr>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瓦窑后民房</w:t>
            </w:r>
          </w:p>
          <w:p>
            <w:pPr>
              <w:spacing w:line="240" w:lineRule="auto"/>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（约150人）</w:t>
            </w:r>
          </w:p>
        </w:tc>
        <w:tc>
          <w:tcPr>
            <w:tcW w:w="1570"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424</w:t>
            </w:r>
          </w:p>
        </w:tc>
        <w:tc>
          <w:tcPr>
            <w:tcW w:w="1144"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10</w:t>
            </w:r>
          </w:p>
        </w:tc>
        <w:tc>
          <w:tcPr>
            <w:tcW w:w="1912"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《建筑设计防火规范》（2018版）3.4.1</w:t>
            </w:r>
          </w:p>
        </w:tc>
        <w:tc>
          <w:tcPr>
            <w:tcW w:w="1897"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restart"/>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南面</w:t>
            </w:r>
          </w:p>
        </w:tc>
        <w:tc>
          <w:tcPr>
            <w:tcW w:w="1990"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丰溪河</w:t>
            </w:r>
          </w:p>
        </w:tc>
        <w:tc>
          <w:tcPr>
            <w:tcW w:w="1570"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20</w:t>
            </w:r>
          </w:p>
        </w:tc>
        <w:tc>
          <w:tcPr>
            <w:tcW w:w="1144"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w:t>
            </w:r>
          </w:p>
        </w:tc>
        <w:tc>
          <w:tcPr>
            <w:tcW w:w="1912" w:type="dxa"/>
            <w:noWrap w:val="0"/>
            <w:vAlign w:val="center"/>
          </w:tcPr>
          <w:p>
            <w:pPr>
              <w:spacing w:line="240" w:lineRule="auto"/>
              <w:jc w:val="center"/>
              <w:rPr>
                <w:rFonts w:hint="default" w:ascii="Times New Roman" w:hAnsi="Times New Roman" w:eastAsia="宋体" w:cs="Times New Roman"/>
                <w:bCs/>
                <w:sz w:val="21"/>
                <w:szCs w:val="21"/>
                <w:lang w:eastAsia="zh-CN"/>
              </w:rPr>
            </w:pPr>
            <w:r>
              <w:rPr>
                <w:rFonts w:hint="default" w:ascii="Times New Roman" w:hAnsi="Times New Roman" w:cs="Times New Roman"/>
                <w:kern w:val="0"/>
                <w:sz w:val="21"/>
                <w:szCs w:val="21"/>
                <w:lang w:val="en-US" w:eastAsia="zh-CN"/>
              </w:rPr>
              <w:t>/</w:t>
            </w:r>
          </w:p>
        </w:tc>
        <w:tc>
          <w:tcPr>
            <w:tcW w:w="1897"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noWrap w:val="0"/>
            <w:vAlign w:val="center"/>
          </w:tcPr>
          <w:p>
            <w:pPr>
              <w:spacing w:line="240" w:lineRule="auto"/>
              <w:jc w:val="center"/>
              <w:rPr>
                <w:rFonts w:hint="default" w:ascii="Times New Roman" w:hAnsi="Times New Roman" w:cs="Times New Roman"/>
                <w:bCs/>
                <w:sz w:val="21"/>
                <w:szCs w:val="21"/>
              </w:rPr>
            </w:pPr>
          </w:p>
        </w:tc>
        <w:tc>
          <w:tcPr>
            <w:tcW w:w="1990"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洲里夏家民房（约400人）</w:t>
            </w:r>
          </w:p>
        </w:tc>
        <w:tc>
          <w:tcPr>
            <w:tcW w:w="1570"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280</w:t>
            </w:r>
          </w:p>
        </w:tc>
        <w:tc>
          <w:tcPr>
            <w:tcW w:w="1144"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10</w:t>
            </w:r>
          </w:p>
        </w:tc>
        <w:tc>
          <w:tcPr>
            <w:tcW w:w="1912"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《建筑设计防火规范》（2018版）3.4.1</w:t>
            </w:r>
          </w:p>
        </w:tc>
        <w:tc>
          <w:tcPr>
            <w:tcW w:w="1897" w:type="dxa"/>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符合</w:t>
            </w:r>
          </w:p>
        </w:tc>
      </w:tr>
    </w:tbl>
    <w:p>
      <w:pPr>
        <w:ind w:firstLine="560" w:firstLineChars="200"/>
        <w:rPr>
          <w:rFonts w:hint="default" w:ascii="Times New Roman" w:hAnsi="Times New Roman" w:cs="Times New Roman"/>
        </w:rPr>
      </w:pPr>
      <w:r>
        <w:rPr>
          <w:rFonts w:hint="default" w:ascii="Times New Roman" w:hAnsi="Times New Roman" w:cs="Times New Roman"/>
        </w:rPr>
        <w:t>综上所述，该公司选址及与周边企业、环境敏感点等场所、设施间距符合要求。</w:t>
      </w:r>
    </w:p>
    <w:p>
      <w:pPr>
        <w:numPr>
          <w:ilvl w:val="0"/>
          <w:numId w:val="25"/>
        </w:numPr>
        <w:ind w:firstLine="560" w:firstLineChars="200"/>
        <w:rPr>
          <w:rFonts w:hint="default" w:ascii="Times New Roman" w:hAnsi="Times New Roman" w:cs="Times New Roman"/>
        </w:rPr>
      </w:pPr>
      <w:r>
        <w:rPr>
          <w:rFonts w:hint="default" w:ascii="Times New Roman" w:hAnsi="Times New Roman" w:cs="Times New Roman"/>
        </w:rPr>
        <w:t>安全检查表法分析评价</w:t>
      </w:r>
    </w:p>
    <w:p>
      <w:pPr>
        <w:ind w:firstLine="560" w:firstLineChars="200"/>
        <w:rPr>
          <w:rFonts w:hint="default" w:ascii="Times New Roman" w:hAnsi="Times New Roman" w:cs="Times New Roman"/>
        </w:rPr>
      </w:pPr>
      <w:r>
        <w:rPr>
          <w:rFonts w:hint="default" w:ascii="Times New Roman" w:hAnsi="Times New Roman" w:cs="Times New Roman"/>
        </w:rPr>
        <w:t>评价组依据《化工企业总图运输设计规范》、《工业企业总平面设计规范》、《化工企业安全卫生设计规范》、《危险化学品生产企业安全生产许可证实施办法》、《公路安全管理条例》、《危险化学品安全管理条例》等法规、规范，使用安全检查表对该</w:t>
      </w:r>
      <w:r>
        <w:rPr>
          <w:rFonts w:hint="eastAsia" w:cs="Times New Roman"/>
          <w:lang w:val="en-US" w:eastAsia="zh-CN"/>
        </w:rPr>
        <w:t>企业</w:t>
      </w:r>
      <w:r>
        <w:rPr>
          <w:rFonts w:hint="default" w:ascii="Times New Roman" w:hAnsi="Times New Roman" w:cs="Times New Roman"/>
        </w:rPr>
        <w:t>厂址及周边环境单元进行了检查，检查情况见附表C.1-2。</w:t>
      </w:r>
    </w:p>
    <w:p>
      <w:pPr>
        <w:jc w:val="cente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t>附表C.1-2 厂址及周边环境单元安全检查表</w:t>
      </w:r>
    </w:p>
    <w:tbl>
      <w:tblPr>
        <w:tblStyle w:val="2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46"/>
        <w:gridCol w:w="3785"/>
        <w:gridCol w:w="1799"/>
        <w:gridCol w:w="2389"/>
        <w:gridCol w:w="66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48" w:type="pct"/>
            <w:noWrap w:val="0"/>
            <w:vAlign w:val="center"/>
          </w:tcPr>
          <w:p>
            <w:pPr>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序号</w:t>
            </w:r>
          </w:p>
        </w:tc>
        <w:tc>
          <w:tcPr>
            <w:tcW w:w="2036" w:type="pct"/>
            <w:noWrap w:val="0"/>
            <w:vAlign w:val="center"/>
          </w:tcPr>
          <w:p>
            <w:pPr>
              <w:tabs>
                <w:tab w:val="left" w:pos="720"/>
              </w:tabs>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检查内容</w:t>
            </w:r>
          </w:p>
        </w:tc>
        <w:tc>
          <w:tcPr>
            <w:tcW w:w="968" w:type="pct"/>
            <w:noWrap w:val="0"/>
            <w:vAlign w:val="center"/>
          </w:tcPr>
          <w:p>
            <w:pPr>
              <w:tabs>
                <w:tab w:val="left" w:pos="720"/>
              </w:tabs>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检查依据</w:t>
            </w:r>
          </w:p>
        </w:tc>
        <w:tc>
          <w:tcPr>
            <w:tcW w:w="1285" w:type="pct"/>
            <w:noWrap w:val="0"/>
            <w:vAlign w:val="center"/>
          </w:tcPr>
          <w:p>
            <w:pPr>
              <w:tabs>
                <w:tab w:val="left" w:pos="720"/>
              </w:tabs>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实际情况</w:t>
            </w:r>
          </w:p>
        </w:tc>
        <w:tc>
          <w:tcPr>
            <w:tcW w:w="360" w:type="pct"/>
            <w:noWrap w:val="0"/>
            <w:vAlign w:val="center"/>
          </w:tcPr>
          <w:p>
            <w:pPr>
              <w:tabs>
                <w:tab w:val="left" w:pos="720"/>
              </w:tabs>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检查结论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48"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036" w:type="pct"/>
            <w:noWrap w:val="0"/>
            <w:vAlign w:val="center"/>
          </w:tcPr>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危险化学品的生产装置与构成重大危险源的储存装置与居民区、学校等《危险化学品安全管理条例》第十九条规定的场所、区域必须符合标准规定的距离。</w:t>
            </w:r>
          </w:p>
        </w:tc>
        <w:tc>
          <w:tcPr>
            <w:tcW w:w="968"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w:t>
            </w:r>
          </w:p>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国务院令第591号</w:t>
            </w:r>
          </w:p>
        </w:tc>
        <w:tc>
          <w:tcPr>
            <w:tcW w:w="1285" w:type="pct"/>
            <w:noWrap w:val="0"/>
            <w:vAlign w:val="center"/>
          </w:tcPr>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位于上饶市广丰区洋口镇青桥寒婆岭，与周边场所、区域距离符合要求。</w:t>
            </w:r>
          </w:p>
        </w:tc>
        <w:tc>
          <w:tcPr>
            <w:tcW w:w="36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4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036" w:type="pct"/>
            <w:noWrap w:val="0"/>
            <w:vAlign w:val="center"/>
          </w:tcPr>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从2011年3月起，对没有划定危险化学品生产、储存专门区域的地区，城乡规划部门原则上不再受理危险化学品生产、储存建设项目“一书两证”（规划选址意见书、建设用地规划许可证、建设工程规划许可证）的申请许可，安全监管部门原则上不再受理危险化学品生产、储存建设项目的安全审查申请，投资主管部门原则上不再受理危险化学品生产、储存建设项目的立项申请，新建化工项目原则上必须进入产业集中区或化工园区。</w:t>
            </w:r>
          </w:p>
        </w:tc>
        <w:tc>
          <w:tcPr>
            <w:tcW w:w="968"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江西省人民政府办公厅赣府厅发[2010]3号</w:t>
            </w:r>
          </w:p>
        </w:tc>
        <w:tc>
          <w:tcPr>
            <w:tcW w:w="1285" w:type="pct"/>
            <w:noWrap w:val="0"/>
            <w:vAlign w:val="center"/>
          </w:tcPr>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在化工集控区，符合当地规划。</w:t>
            </w:r>
          </w:p>
        </w:tc>
        <w:tc>
          <w:tcPr>
            <w:tcW w:w="36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4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036" w:type="pct"/>
            <w:noWrap w:val="0"/>
            <w:vAlign w:val="center"/>
          </w:tcPr>
          <w:p>
            <w:pPr>
              <w:tabs>
                <w:tab w:val="left" w:pos="720"/>
              </w:tabs>
              <w:spacing w:line="240" w:lineRule="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除按照国家有关规定设立的为车辆补充燃料的场所、设施外，禁止在下列范围内设立生产、储存、销售易燃、易爆、剧毒、放射性等危险物品的场所、设施：</w:t>
            </w:r>
          </w:p>
          <w:p>
            <w:pPr>
              <w:tabs>
                <w:tab w:val="left" w:pos="720"/>
              </w:tabs>
              <w:spacing w:line="240" w:lineRule="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（一）公路用地外缘起向外100米；</w:t>
            </w:r>
          </w:p>
          <w:p>
            <w:pPr>
              <w:tabs>
                <w:tab w:val="left" w:pos="720"/>
              </w:tabs>
              <w:spacing w:line="240" w:lineRule="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（二）公路渡口和中型以上公路桥梁周围200米；</w:t>
            </w:r>
          </w:p>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（三）公路隧道上方和洞口外100米。</w:t>
            </w:r>
          </w:p>
          <w:p>
            <w:pPr>
              <w:tabs>
                <w:tab w:val="left" w:pos="720"/>
              </w:tabs>
              <w:spacing w:line="240" w:lineRule="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公路建筑控制区的范围，从公路用地外缘起向外的距离标准为：省道不少于15米；</w:t>
            </w:r>
          </w:p>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在公路建筑控制区内，除公路保护需要外，禁止修建建筑物和地面构筑物；公路建筑控制区划定前已经合法修建的不得扩建，因公路建设或者保障公路运行安全等原因需要拆除的应当依法给予补偿。</w:t>
            </w:r>
          </w:p>
        </w:tc>
        <w:tc>
          <w:tcPr>
            <w:tcW w:w="968"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国务院令第593号第十八条、第十一条、第十三条</w:t>
            </w:r>
          </w:p>
        </w:tc>
        <w:tc>
          <w:tcPr>
            <w:tcW w:w="1285"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厂界距北侧的上广公路大于200m。</w:t>
            </w:r>
          </w:p>
        </w:tc>
        <w:tc>
          <w:tcPr>
            <w:tcW w:w="36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34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036" w:type="pct"/>
            <w:noWrap w:val="0"/>
            <w:vAlign w:val="center"/>
          </w:tcPr>
          <w:p>
            <w:pPr>
              <w:spacing w:line="240" w:lineRule="auto"/>
              <w:rPr>
                <w:rFonts w:hint="default" w:ascii="Times New Roman" w:hAnsi="Times New Roman" w:cs="Times New Roman"/>
                <w:szCs w:val="21"/>
              </w:rPr>
            </w:pPr>
            <w:r>
              <w:rPr>
                <w:rFonts w:hint="default" w:ascii="Times New Roman" w:hAnsi="Times New Roman" w:cs="Times New Roman"/>
                <w:sz w:val="21"/>
                <w:szCs w:val="21"/>
              </w:rPr>
              <w:t>厂址应具有满足生产、生活及发展规划所必需的水源和电源。水源和电源与厂址之间的管线连接应短捷，且用水、用电量大的工业企业宜靠近水源及电源地。</w:t>
            </w:r>
          </w:p>
        </w:tc>
        <w:tc>
          <w:tcPr>
            <w:tcW w:w="968"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工业企业总平面设计规范(GB50187-2012)</w:t>
            </w:r>
          </w:p>
        </w:tc>
        <w:tc>
          <w:tcPr>
            <w:tcW w:w="1285"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厂址有满足生产、生活的电源、水源。</w:t>
            </w:r>
          </w:p>
        </w:tc>
        <w:tc>
          <w:tcPr>
            <w:tcW w:w="36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55" w:hRule="atLeast"/>
          <w:jc w:val="center"/>
        </w:trPr>
        <w:tc>
          <w:tcPr>
            <w:tcW w:w="34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2036" w:type="pct"/>
            <w:noWrap w:val="0"/>
            <w:vAlign w:val="center"/>
          </w:tcPr>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kern w:val="0"/>
                <w:sz w:val="21"/>
                <w:szCs w:val="21"/>
              </w:rPr>
              <w:t>石油化工企业的生产区，宜位于邻近城镇或居住区全年最小频率风向的上风侧。</w:t>
            </w:r>
          </w:p>
        </w:tc>
        <w:tc>
          <w:tcPr>
            <w:tcW w:w="968"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工业企业总平面设计规范(GB50187-2012)</w:t>
            </w:r>
          </w:p>
        </w:tc>
        <w:tc>
          <w:tcPr>
            <w:tcW w:w="1285"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位于上风侧，厂区与附近民居保持足够的安全距离</w:t>
            </w:r>
          </w:p>
        </w:tc>
        <w:tc>
          <w:tcPr>
            <w:tcW w:w="36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55" w:hRule="atLeast"/>
          <w:jc w:val="center"/>
        </w:trPr>
        <w:tc>
          <w:tcPr>
            <w:tcW w:w="34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2036" w:type="pct"/>
            <w:noWrap w:val="0"/>
            <w:vAlign w:val="center"/>
          </w:tcPr>
          <w:p>
            <w:pPr>
              <w:widowControl/>
              <w:spacing w:before="100" w:beforeAutospacing="1" w:after="100" w:afterAutospacing="1" w:line="240" w:lineRule="auto"/>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任何单位和个人不得在铁路线路两侧距路堤坡脚、路堑坡顶、铁路桥梁外侧</w:t>
            </w:r>
            <w:r>
              <w:rPr>
                <w:rFonts w:hint="default" w:ascii="Times New Roman" w:hAnsi="Times New Roman" w:cs="Times New Roman"/>
                <w:sz w:val="21"/>
                <w:szCs w:val="21"/>
              </w:rPr>
              <w:t>200</w:t>
            </w:r>
            <w:r>
              <w:rPr>
                <w:rFonts w:hint="default" w:ascii="Times New Roman" w:hAnsi="Times New Roman" w:cs="Times New Roman"/>
                <w:kern w:val="0"/>
                <w:sz w:val="21"/>
                <w:szCs w:val="21"/>
              </w:rPr>
              <w:t>米范围内，或者铁路车站及周围</w:t>
            </w:r>
            <w:r>
              <w:rPr>
                <w:rFonts w:hint="default" w:ascii="Times New Roman" w:hAnsi="Times New Roman" w:cs="Times New Roman"/>
                <w:sz w:val="21"/>
                <w:szCs w:val="21"/>
              </w:rPr>
              <w:t>200</w:t>
            </w:r>
            <w:r>
              <w:rPr>
                <w:rFonts w:hint="default" w:ascii="Times New Roman" w:hAnsi="Times New Roman" w:cs="Times New Roman"/>
                <w:kern w:val="0"/>
                <w:sz w:val="21"/>
                <w:szCs w:val="21"/>
              </w:rPr>
              <w:t>米范围内，及铁路隧道上方中心线两侧各</w:t>
            </w:r>
            <w:r>
              <w:rPr>
                <w:rFonts w:hint="default" w:ascii="Times New Roman" w:hAnsi="Times New Roman" w:cs="Times New Roman"/>
                <w:sz w:val="21"/>
                <w:szCs w:val="21"/>
              </w:rPr>
              <w:t>200</w:t>
            </w:r>
            <w:r>
              <w:rPr>
                <w:rFonts w:hint="default" w:ascii="Times New Roman" w:hAnsi="Times New Roman" w:cs="Times New Roman"/>
                <w:kern w:val="0"/>
                <w:sz w:val="21"/>
                <w:szCs w:val="21"/>
              </w:rPr>
              <w:t xml:space="preserve">米范围内，建造、设立生产、加工、储存和销售易燃、易爆或者放射性物品等危险物品的场所、仓库。但是，根据国家有关规定设立的为铁路运输工具补充燃料的设施及办理危险货物运输的除外。 </w:t>
            </w:r>
          </w:p>
        </w:tc>
        <w:tc>
          <w:tcPr>
            <w:tcW w:w="968"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国务院令第430号第十七条</w:t>
            </w:r>
          </w:p>
        </w:tc>
        <w:tc>
          <w:tcPr>
            <w:tcW w:w="1285"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厂址与铁路距离超过10km。</w:t>
            </w:r>
          </w:p>
        </w:tc>
        <w:tc>
          <w:tcPr>
            <w:tcW w:w="36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34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2036" w:type="pct"/>
            <w:noWrap w:val="0"/>
            <w:vAlign w:val="center"/>
          </w:tcPr>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厂址应具有满足建设工程需要的工程地质条件和水文地质条件。</w:t>
            </w:r>
          </w:p>
          <w:p>
            <w:pPr>
              <w:tabs>
                <w:tab w:val="left" w:pos="720"/>
              </w:tabs>
              <w:spacing w:line="240" w:lineRule="auto"/>
              <w:rPr>
                <w:rFonts w:hint="default" w:ascii="Times New Roman" w:hAnsi="Times New Roman" w:cs="Times New Roman"/>
                <w:spacing w:val="-8"/>
                <w:sz w:val="21"/>
                <w:szCs w:val="21"/>
              </w:rPr>
            </w:pPr>
            <w:r>
              <w:rPr>
                <w:rFonts w:hint="default" w:ascii="Times New Roman" w:hAnsi="Times New Roman" w:cs="Times New Roman"/>
                <w:spacing w:val="-8"/>
                <w:sz w:val="21"/>
                <w:szCs w:val="21"/>
              </w:rPr>
              <w:t>厂址应满足工业企业近期所必需的场地面积和适宜的地形坡度。并应根据工业企业远期发展规划的需要，适当留有发展的余地。</w:t>
            </w:r>
          </w:p>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pacing w:val="-12"/>
                <w:sz w:val="21"/>
                <w:szCs w:val="21"/>
              </w:rPr>
              <w:t>厂址应位于不受洪水、潮水或内涝威胁的地带。</w:t>
            </w:r>
          </w:p>
        </w:tc>
        <w:tc>
          <w:tcPr>
            <w:tcW w:w="968"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工业企业总平面设计规范(GB50187-2012)第3.0.8、3.0.9、3.0.10、3.0.12条</w:t>
            </w:r>
          </w:p>
        </w:tc>
        <w:tc>
          <w:tcPr>
            <w:tcW w:w="1285" w:type="pct"/>
            <w:noWrap w:val="0"/>
            <w:vAlign w:val="center"/>
          </w:tcPr>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工程地质条件及水文条件满足要求，无洪水及内涝威胁，区内无断层、泥石流、滑坡、地下溶洞，无风景名胜区及有开采价值的矿藏。</w:t>
            </w:r>
          </w:p>
        </w:tc>
        <w:tc>
          <w:tcPr>
            <w:tcW w:w="36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4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2036" w:type="pct"/>
            <w:noWrap w:val="0"/>
            <w:vAlign w:val="center"/>
          </w:tcPr>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厂址宜靠近原料、燃料基地或产品主要销售地。并应有方便、经济的交通运输条件，与厂外铁路、公路、港口的连接，应短捷，且工程量小。</w:t>
            </w:r>
          </w:p>
        </w:tc>
        <w:tc>
          <w:tcPr>
            <w:tcW w:w="968"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工业企业总平面设计规范GB50187-2012</w:t>
            </w:r>
          </w:p>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第3.0.4条</w:t>
            </w:r>
          </w:p>
        </w:tc>
        <w:tc>
          <w:tcPr>
            <w:tcW w:w="1285"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有方便的运输条件。</w:t>
            </w:r>
          </w:p>
        </w:tc>
        <w:tc>
          <w:tcPr>
            <w:tcW w:w="36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4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2036"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厂址应有便利和经济的交通运输条件，与厂外铁路、公路的连接应便捷、工程</w:t>
            </w:r>
            <w:r>
              <w:rPr>
                <w:rFonts w:hint="default" w:ascii="Times New Roman" w:hAnsi="Times New Roman" w:cs="Times New Roman"/>
                <w:spacing w:val="-6"/>
                <w:sz w:val="21"/>
                <w:szCs w:val="21"/>
              </w:rPr>
              <w:t>量小。临近江、河、湖、海的厂址，通航条件满足企业运输要求时，应利用水运，且厂址宜靠近适合建设码头的地段。</w:t>
            </w:r>
          </w:p>
        </w:tc>
        <w:tc>
          <w:tcPr>
            <w:tcW w:w="968"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工业企业总平面设计规范GB50187-2012</w:t>
            </w:r>
          </w:p>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第3.0.5条</w:t>
            </w:r>
          </w:p>
        </w:tc>
        <w:tc>
          <w:tcPr>
            <w:tcW w:w="1285"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厂址周边有方便的运输条件；该</w:t>
            </w:r>
            <w:r>
              <w:rPr>
                <w:rFonts w:hint="eastAsia" w:cs="Times New Roman"/>
                <w:sz w:val="21"/>
                <w:szCs w:val="21"/>
                <w:lang w:val="en-US" w:eastAsia="zh-CN"/>
              </w:rPr>
              <w:t>企业</w:t>
            </w:r>
            <w:r>
              <w:rPr>
                <w:rFonts w:hint="default" w:ascii="Times New Roman" w:hAnsi="Times New Roman" w:cs="Times New Roman"/>
                <w:sz w:val="21"/>
                <w:szCs w:val="21"/>
              </w:rPr>
              <w:t>未使用水运。</w:t>
            </w:r>
          </w:p>
        </w:tc>
        <w:tc>
          <w:tcPr>
            <w:tcW w:w="36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4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2036" w:type="pct"/>
            <w:noWrap w:val="0"/>
            <w:vAlign w:val="center"/>
          </w:tcPr>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化工企业厂址必须考虑当地风向因素，一般应位于城镇、工厂居住区全年最小频率风向的上风向。</w:t>
            </w:r>
          </w:p>
        </w:tc>
        <w:tc>
          <w:tcPr>
            <w:tcW w:w="968" w:type="pct"/>
            <w:noWrap w:val="0"/>
            <w:vAlign w:val="center"/>
          </w:tcPr>
          <w:p>
            <w:pPr>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HG20571-2014</w:t>
            </w:r>
          </w:p>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第3.1.9条</w:t>
            </w:r>
          </w:p>
        </w:tc>
        <w:tc>
          <w:tcPr>
            <w:tcW w:w="1285"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厂址远离城镇、居住区，位于最小频率风向的上风向。</w:t>
            </w:r>
          </w:p>
        </w:tc>
        <w:tc>
          <w:tcPr>
            <w:tcW w:w="36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4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2036" w:type="pct"/>
            <w:noWrap w:val="0"/>
            <w:vAlign w:val="center"/>
          </w:tcPr>
          <w:p>
            <w:pPr>
              <w:spacing w:line="240" w:lineRule="auto"/>
              <w:rPr>
                <w:rFonts w:hint="default" w:ascii="Times New Roman" w:hAnsi="Times New Roman" w:cs="Times New Roman"/>
                <w:szCs w:val="21"/>
              </w:rPr>
            </w:pPr>
            <w:r>
              <w:rPr>
                <w:rFonts w:hint="default" w:ascii="Times New Roman" w:hAnsi="Times New Roman" w:cs="Times New Roman"/>
                <w:sz w:val="21"/>
                <w:szCs w:val="21"/>
              </w:rPr>
              <w:t>厂址应有利于同邻近工业企业和依托城镇在生产、交通运输、动力公用、机修和器材供应、综合利用、发展循环经济和生活设施等方面的协作。</w:t>
            </w:r>
          </w:p>
        </w:tc>
        <w:tc>
          <w:tcPr>
            <w:tcW w:w="968"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GB50187-2012</w:t>
            </w:r>
          </w:p>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第3.0.11条</w:t>
            </w:r>
          </w:p>
        </w:tc>
        <w:tc>
          <w:tcPr>
            <w:tcW w:w="1285"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依托城镇的交通设施。</w:t>
            </w:r>
          </w:p>
        </w:tc>
        <w:tc>
          <w:tcPr>
            <w:tcW w:w="36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4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12</w:t>
            </w:r>
          </w:p>
        </w:tc>
        <w:tc>
          <w:tcPr>
            <w:tcW w:w="2036" w:type="pct"/>
            <w:noWrap w:val="0"/>
            <w:vAlign w:val="center"/>
          </w:tcPr>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下列地段和地区不应选为厂址：</w:t>
            </w:r>
          </w:p>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 发震断层和抗震设防烈度为9度及高于9度的地震区；</w:t>
            </w:r>
          </w:p>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 有泥石流、滑坡、流沙、溶洞等直接危害的地段；</w:t>
            </w:r>
          </w:p>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3 采矿陷落（错动）区地表界限内；</w:t>
            </w:r>
          </w:p>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4 爆破危险界限内；</w:t>
            </w:r>
          </w:p>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5 坝或堤决溃后可能淹没的地区；</w:t>
            </w:r>
          </w:p>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6 有严重放射性物质污染影响区；</w:t>
            </w:r>
          </w:p>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7 生活居住区、文教区、水源保护区、名胜古迹、风景游览区、温泉、疗养区、自然保护区和其它需要特别保护的区域；</w:t>
            </w:r>
          </w:p>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8 对飞机起落、电台通讯、电视转播、雷达导航和重要的天文、气象、地震观察以及军事设施等规定有影响的范围内；</w:t>
            </w:r>
          </w:p>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9 很严重的自重湿陷性黄土地段，厚度大的新近堆积黄土地段和高压缩性的饱和黄土地段等地质条件恶劣地段；</w:t>
            </w:r>
          </w:p>
          <w:p>
            <w:pPr>
              <w:tabs>
                <w:tab w:val="left" w:pos="720"/>
              </w:tabs>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10 具有开采价值的矿藏区；</w:t>
            </w:r>
          </w:p>
          <w:p>
            <w:pPr>
              <w:tabs>
                <w:tab w:val="left" w:pos="720"/>
              </w:tabs>
              <w:spacing w:line="240" w:lineRule="auto"/>
              <w:rPr>
                <w:rFonts w:hint="default" w:ascii="Times New Roman" w:hAnsi="Times New Roman" w:cs="Times New Roman"/>
                <w:szCs w:val="21"/>
              </w:rPr>
            </w:pPr>
            <w:r>
              <w:rPr>
                <w:rFonts w:hint="default" w:ascii="Times New Roman" w:hAnsi="Times New Roman" w:cs="Times New Roman"/>
                <w:sz w:val="21"/>
                <w:szCs w:val="21"/>
              </w:rPr>
              <w:t>11 受海啸或湖涌危害的地区。</w:t>
            </w:r>
          </w:p>
        </w:tc>
        <w:tc>
          <w:tcPr>
            <w:tcW w:w="968"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GB50187-2012</w:t>
            </w:r>
          </w:p>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第3.0.14条</w:t>
            </w:r>
          </w:p>
        </w:tc>
        <w:tc>
          <w:tcPr>
            <w:tcW w:w="1285"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无所述不良地段和地区。</w:t>
            </w:r>
          </w:p>
        </w:tc>
        <w:tc>
          <w:tcPr>
            <w:tcW w:w="36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4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13</w:t>
            </w:r>
          </w:p>
        </w:tc>
        <w:tc>
          <w:tcPr>
            <w:tcW w:w="2036" w:type="pct"/>
            <w:noWrap w:val="0"/>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工业企业选址宜避开自然疫源地；对于因建设工程需要等原因不能避开的，应设计具体的疫情综合预防控制措施。</w:t>
            </w:r>
          </w:p>
        </w:tc>
        <w:tc>
          <w:tcPr>
            <w:tcW w:w="96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GBZ1-2010</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第5.1.2条</w:t>
            </w:r>
          </w:p>
        </w:tc>
        <w:tc>
          <w:tcPr>
            <w:tcW w:w="1285"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不存在自然疫源地。</w:t>
            </w:r>
          </w:p>
        </w:tc>
        <w:tc>
          <w:tcPr>
            <w:tcW w:w="36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4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14</w:t>
            </w:r>
          </w:p>
        </w:tc>
        <w:tc>
          <w:tcPr>
            <w:tcW w:w="2036" w:type="pct"/>
            <w:noWrap w:val="0"/>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工业企业选址宜避开可能产生或存在危害健康的场所和设施，如垃圾填埋场、污水处理厂、气体输送管道，以及水、土壤可能已被原工业企业污染的地区，建设工程需要难以避开的，应首先进行卫生学评估，并根据评估结果采取必要的控制措施。设计单位应明确要求施工单位和建设单位制定施工期间和投产运行后突发公共卫生事件应急救援预案</w:t>
            </w:r>
          </w:p>
        </w:tc>
        <w:tc>
          <w:tcPr>
            <w:tcW w:w="96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GBZ1-2010</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第5.1.3条</w:t>
            </w:r>
          </w:p>
        </w:tc>
        <w:tc>
          <w:tcPr>
            <w:tcW w:w="1285"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不属于被原工业企业污染的土地。</w:t>
            </w:r>
          </w:p>
        </w:tc>
        <w:tc>
          <w:tcPr>
            <w:tcW w:w="36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34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2036" w:type="pct"/>
            <w:noWrap w:val="0"/>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向大气排放有害物质的工业企业应布置在当地夏季最小频率风向的被保护对象的上风侧，并应符合国家规定的卫生防护距离要求，以避免与周边地区产生相互影响。对于目前国家尚未规定卫生防护距离要求的，宜进行健康影响评估，并根据实际评估结果作出判定</w:t>
            </w:r>
          </w:p>
        </w:tc>
        <w:tc>
          <w:tcPr>
            <w:tcW w:w="96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GBZ1-2010</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第5.1.4条</w:t>
            </w:r>
          </w:p>
        </w:tc>
        <w:tc>
          <w:tcPr>
            <w:tcW w:w="1285"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在当地夏季最小频率风向的被保护对象的上风侧。</w:t>
            </w:r>
          </w:p>
        </w:tc>
        <w:tc>
          <w:tcPr>
            <w:tcW w:w="36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4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16</w:t>
            </w:r>
          </w:p>
        </w:tc>
        <w:tc>
          <w:tcPr>
            <w:tcW w:w="2036" w:type="pct"/>
            <w:noWrap w:val="0"/>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在同一工业区内布置不同卫生特征的工业企业时，应避免不同有害因素产生交叉污染和联合作用。</w:t>
            </w:r>
          </w:p>
        </w:tc>
        <w:tc>
          <w:tcPr>
            <w:tcW w:w="968"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GBZ1-2010</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第5.1.5条</w:t>
            </w:r>
          </w:p>
        </w:tc>
        <w:tc>
          <w:tcPr>
            <w:tcW w:w="1285" w:type="pct"/>
            <w:noWrap w:val="0"/>
            <w:vAlign w:val="center"/>
          </w:tcPr>
          <w:p>
            <w:pPr>
              <w:tabs>
                <w:tab w:val="left" w:pos="720"/>
              </w:tabs>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位于化工园区。无交叉污染。</w:t>
            </w:r>
          </w:p>
        </w:tc>
        <w:tc>
          <w:tcPr>
            <w:tcW w:w="360"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bl>
    <w:p>
      <w:pPr>
        <w:ind w:firstLine="560" w:firstLineChars="200"/>
        <w:rPr>
          <w:rFonts w:hint="default" w:ascii="Times New Roman" w:hAnsi="Times New Roman" w:cs="Times New Roman"/>
        </w:rPr>
      </w:pPr>
      <w:r>
        <w:rPr>
          <w:rFonts w:hint="default" w:ascii="Times New Roman" w:hAnsi="Times New Roman" w:cs="Times New Roman"/>
        </w:rPr>
        <w:t>2、单元评价小结</w:t>
      </w:r>
    </w:p>
    <w:p>
      <w:pPr>
        <w:ind w:firstLine="560" w:firstLineChars="200"/>
        <w:rPr>
          <w:rFonts w:hint="default" w:ascii="Times New Roman" w:hAnsi="Times New Roman" w:cs="Times New Roman"/>
        </w:rPr>
      </w:pPr>
      <w:r>
        <w:rPr>
          <w:rFonts w:hint="default" w:ascii="Times New Roman" w:hAnsi="Times New Roman" w:cs="Times New Roman"/>
        </w:rPr>
        <w:t>根据</w:t>
      </w:r>
      <w:r>
        <w:rPr>
          <w:rFonts w:hint="default" w:ascii="Times New Roman" w:hAnsi="Times New Roman" w:cs="Times New Roman"/>
          <w:lang w:eastAsia="zh-CN"/>
        </w:rPr>
        <w:t>上饶市广氟医药化工有限公司</w:t>
      </w:r>
      <w:r>
        <w:rPr>
          <w:rFonts w:hint="default" w:ascii="Times New Roman" w:hAnsi="Times New Roman" w:cs="Times New Roman"/>
        </w:rPr>
        <w:t>所提供的资料和现场检查情况，</w:t>
      </w:r>
      <w:r>
        <w:rPr>
          <w:rFonts w:hint="default" w:ascii="Times New Roman" w:hAnsi="Times New Roman" w:cs="Times New Roman"/>
          <w:lang w:eastAsia="zh-CN"/>
        </w:rPr>
        <w:t>上饶市广氟医药化工有限公司</w:t>
      </w:r>
      <w:r>
        <w:rPr>
          <w:rFonts w:hint="default" w:ascii="Times New Roman" w:hAnsi="Times New Roman" w:cs="Times New Roman"/>
        </w:rPr>
        <w:t>的厂址及周边环境单元情况评价小结如下：</w:t>
      </w:r>
    </w:p>
    <w:p>
      <w:pPr>
        <w:ind w:firstLine="560" w:firstLineChars="200"/>
        <w:rPr>
          <w:rFonts w:hint="default" w:ascii="Times New Roman" w:hAnsi="Times New Roman" w:cs="Times New Roman"/>
        </w:rPr>
      </w:pPr>
      <w:r>
        <w:rPr>
          <w:rFonts w:hint="default" w:ascii="Times New Roman" w:hAnsi="Times New Roman" w:cs="Times New Roman"/>
        </w:rPr>
        <w:t>1）该</w:t>
      </w:r>
      <w:r>
        <w:rPr>
          <w:rFonts w:hint="eastAsia" w:cs="Times New Roman"/>
          <w:lang w:val="en-US" w:eastAsia="zh-CN"/>
        </w:rPr>
        <w:t>企业</w:t>
      </w:r>
      <w:r>
        <w:rPr>
          <w:rFonts w:hint="default" w:ascii="Times New Roman" w:hAnsi="Times New Roman" w:cs="Times New Roman"/>
        </w:rPr>
        <w:t>的选址于上饶市广丰区洋口镇青桥寒婆岭，位于上饶高新技术产业园区</w:t>
      </w:r>
      <w:r>
        <w:rPr>
          <w:rFonts w:hint="eastAsia" w:ascii="Times New Roman" w:hAnsi="Times New Roman" w:cs="Times New Roman"/>
          <w:lang w:val="en-US" w:eastAsia="zh-CN"/>
        </w:rPr>
        <w:t>内</w:t>
      </w:r>
      <w:r>
        <w:rPr>
          <w:rFonts w:hint="default" w:ascii="Times New Roman" w:hAnsi="Times New Roman" w:cs="Times New Roman"/>
        </w:rPr>
        <w:t>，符合当地的规划和布局。</w:t>
      </w:r>
    </w:p>
    <w:p>
      <w:pPr>
        <w:ind w:firstLine="560" w:firstLineChars="200"/>
        <w:rPr>
          <w:rFonts w:hint="default" w:ascii="Times New Roman" w:hAnsi="Times New Roman" w:cs="Times New Roman"/>
        </w:rPr>
      </w:pPr>
      <w:r>
        <w:rPr>
          <w:rFonts w:hint="default" w:ascii="Times New Roman" w:hAnsi="Times New Roman" w:cs="Times New Roman"/>
        </w:rPr>
        <w:t>2）该</w:t>
      </w:r>
      <w:r>
        <w:rPr>
          <w:rFonts w:hint="eastAsia" w:cs="Times New Roman"/>
          <w:lang w:val="en-US" w:eastAsia="zh-CN"/>
        </w:rPr>
        <w:t>企业</w:t>
      </w:r>
      <w:r>
        <w:rPr>
          <w:rFonts w:hint="default" w:ascii="Times New Roman" w:hAnsi="Times New Roman" w:cs="Times New Roman"/>
        </w:rPr>
        <w:t>建构筑物及与周边企业、环境敏感点等场所、设施间距符合要求，与周边企业、公路、铁路的距离符合相关法规、规章、标准的要求。</w:t>
      </w:r>
    </w:p>
    <w:p>
      <w:pPr>
        <w:ind w:firstLine="560" w:firstLineChars="200"/>
        <w:rPr>
          <w:rFonts w:hint="default" w:ascii="Times New Roman" w:hAnsi="Times New Roman" w:cs="Times New Roman"/>
        </w:rPr>
      </w:pPr>
      <w:r>
        <w:rPr>
          <w:rFonts w:hint="default" w:ascii="Times New Roman" w:hAnsi="Times New Roman" w:cs="Times New Roman"/>
        </w:rPr>
        <w:t>3）该</w:t>
      </w:r>
      <w:r>
        <w:rPr>
          <w:rFonts w:hint="eastAsia" w:cs="Times New Roman"/>
          <w:lang w:val="en-US" w:eastAsia="zh-CN"/>
        </w:rPr>
        <w:t>企业</w:t>
      </w:r>
      <w:r>
        <w:rPr>
          <w:rFonts w:hint="default" w:ascii="Times New Roman" w:hAnsi="Times New Roman" w:cs="Times New Roman"/>
        </w:rPr>
        <w:t>厂址地质条件稳定，无不良地质现象，周围无名胜古迹及自然风景区，无已探明的具有开采价值的矿藏，无滑坡或泥石流现象。</w:t>
      </w:r>
    </w:p>
    <w:p>
      <w:pPr>
        <w:ind w:firstLine="560" w:firstLineChars="200"/>
        <w:rPr>
          <w:rFonts w:hint="default" w:ascii="Times New Roman" w:hAnsi="Times New Roman" w:cs="Times New Roman"/>
        </w:rPr>
      </w:pPr>
      <w:r>
        <w:rPr>
          <w:rFonts w:hint="default" w:ascii="Times New Roman" w:hAnsi="Times New Roman" w:cs="Times New Roman"/>
        </w:rPr>
        <w:t>4）对该单元进行了</w:t>
      </w:r>
      <w:r>
        <w:rPr>
          <w:rFonts w:hint="default" w:ascii="Times New Roman" w:hAnsi="Times New Roman" w:cs="Times New Roman"/>
          <w:lang w:val="en-US" w:eastAsia="zh-CN"/>
        </w:rPr>
        <w:t>16</w:t>
      </w:r>
      <w:r>
        <w:rPr>
          <w:rFonts w:hint="default" w:ascii="Times New Roman" w:hAnsi="Times New Roman" w:cs="Times New Roman"/>
        </w:rPr>
        <w:t>项检查，无不符合项。</w:t>
      </w:r>
    </w:p>
    <w:p>
      <w:pPr>
        <w:pStyle w:val="4"/>
        <w:rPr>
          <w:rFonts w:hint="default" w:ascii="Times New Roman" w:hAnsi="Times New Roman" w:cs="Times New Roman"/>
        </w:rPr>
      </w:pPr>
      <w:bookmarkStart w:id="131" w:name="_Toc9351"/>
      <w:bookmarkStart w:id="132" w:name="_Toc13069"/>
      <w:bookmarkStart w:id="133" w:name="_Toc1507"/>
      <w:r>
        <w:rPr>
          <w:rFonts w:hint="default" w:ascii="Times New Roman" w:hAnsi="Times New Roman" w:cs="Times New Roman"/>
        </w:rPr>
        <w:t>C.2总平面布置及建构筑物单元</w:t>
      </w:r>
      <w:bookmarkEnd w:id="131"/>
      <w:bookmarkEnd w:id="132"/>
      <w:bookmarkEnd w:id="133"/>
    </w:p>
    <w:p>
      <w:pPr>
        <w:ind w:firstLine="560" w:firstLineChars="200"/>
        <w:rPr>
          <w:rFonts w:hint="default" w:ascii="Times New Roman" w:hAnsi="Times New Roman" w:cs="Times New Roman"/>
        </w:rPr>
      </w:pPr>
      <w:bookmarkStart w:id="134" w:name="_Toc431204826"/>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rPr>
        <w:t>涉及的主要建构筑物防火分区和各建构筑物之间的防火间距一览表详见</w:t>
      </w:r>
      <w:r>
        <w:rPr>
          <w:rFonts w:hint="default" w:ascii="Times New Roman" w:hAnsi="Times New Roman" w:cs="Times New Roman"/>
          <w:lang w:val="en-US" w:eastAsia="zh-CN"/>
        </w:rPr>
        <w:t>下表</w:t>
      </w:r>
      <w:r>
        <w:rPr>
          <w:rFonts w:hint="default" w:ascii="Times New Roman" w:hAnsi="Times New Roman" w:cs="Times New Roman"/>
        </w:rPr>
        <w:t>。</w:t>
      </w:r>
    </w:p>
    <w:p>
      <w:pPr>
        <w:jc w:val="center"/>
        <w:rPr>
          <w:rFonts w:hint="default" w:ascii="Times New Roman" w:hAnsi="Times New Roman" w:eastAsia="宋体" w:cs="Times New Roman"/>
          <w:lang w:val="en-US" w:eastAsia="zh-CN"/>
        </w:rPr>
      </w:pPr>
      <w:r>
        <w:rPr>
          <w:rFonts w:hint="default" w:ascii="Times New Roman" w:hAnsi="Times New Roman" w:cs="Times New Roman"/>
          <w:b w:val="0"/>
          <w:bCs w:val="0"/>
          <w:sz w:val="28"/>
          <w:szCs w:val="28"/>
        </w:rPr>
        <w:t>附表C.2-</w:t>
      </w:r>
      <w:r>
        <w:rPr>
          <w:rFonts w:hint="default" w:ascii="Times New Roman" w:hAnsi="Times New Roman" w:cs="Times New Roman"/>
          <w:b w:val="0"/>
          <w:bCs w:val="0"/>
          <w:sz w:val="28"/>
          <w:szCs w:val="28"/>
          <w:lang w:val="en-US" w:eastAsia="zh-CN"/>
        </w:rPr>
        <w:t>1</w:t>
      </w:r>
      <w:r>
        <w:rPr>
          <w:rFonts w:hint="default" w:ascii="Times New Roman" w:hAnsi="Times New Roman" w:cs="Times New Roman"/>
        </w:rPr>
        <w:t>建、构筑物防火间距一览表</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1"/>
        <w:gridCol w:w="1113"/>
        <w:gridCol w:w="2364"/>
        <w:gridCol w:w="1117"/>
        <w:gridCol w:w="1485"/>
        <w:gridCol w:w="18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1391"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名称</w:t>
            </w:r>
          </w:p>
        </w:tc>
        <w:tc>
          <w:tcPr>
            <w:tcW w:w="1113"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相对位置</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建、构筑物名称</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实际距离m</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规范要求间距m</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restart"/>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101生产车间一（丁类）</w:t>
            </w: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104生产车间四（</w:t>
            </w:r>
            <w:r>
              <w:rPr>
                <w:rFonts w:hint="default" w:ascii="Times New Roman" w:hAnsi="Times New Roman" w:cs="Times New Roman"/>
                <w:sz w:val="21"/>
                <w:szCs w:val="21"/>
              </w:rPr>
              <w:t>丁类</w:t>
            </w:r>
            <w:r>
              <w:rPr>
                <w:rFonts w:hint="default" w:ascii="Times New Roman" w:hAnsi="Times New Roman" w:cs="Times New Roman"/>
                <w:kern w:val="0"/>
                <w:sz w:val="21"/>
                <w:szCs w:val="21"/>
              </w:rPr>
              <w:t>）</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14</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102生产车间二（</w:t>
            </w:r>
            <w:r>
              <w:rPr>
                <w:rFonts w:hint="default" w:ascii="Times New Roman" w:hAnsi="Times New Roman" w:cs="Times New Roman"/>
                <w:sz w:val="21"/>
                <w:szCs w:val="21"/>
              </w:rPr>
              <w:t>丁类</w:t>
            </w:r>
            <w:r>
              <w:rPr>
                <w:rFonts w:hint="default" w:ascii="Times New Roman" w:hAnsi="Times New Roman" w:cs="Times New Roman"/>
                <w:kern w:val="0"/>
                <w:sz w:val="21"/>
                <w:szCs w:val="21"/>
              </w:rPr>
              <w:t>）</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19</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西面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309包装材料仓库（丙类）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sz w:val="21"/>
                <w:szCs w:val="21"/>
              </w:rPr>
              <w:t>20</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8"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东北面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312尾气处理装置区</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19.4</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818" w:type="dxa"/>
            <w:noWrap w:val="0"/>
            <w:vAlign w:val="center"/>
          </w:tcPr>
          <w:p>
            <w:pPr>
              <w:spacing w:line="240" w:lineRule="exact"/>
              <w:jc w:val="center"/>
              <w:rPr>
                <w:rFonts w:hint="default" w:ascii="Times New Roman" w:hAnsi="Times New Roman" w:cs="Times New Roman"/>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restart"/>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102生产车间二（</w:t>
            </w:r>
            <w:r>
              <w:rPr>
                <w:rFonts w:hint="default" w:ascii="Times New Roman" w:hAnsi="Times New Roman" w:cs="Times New Roman"/>
                <w:sz w:val="21"/>
                <w:szCs w:val="21"/>
              </w:rPr>
              <w:t>丁类</w:t>
            </w:r>
            <w:r>
              <w:rPr>
                <w:rFonts w:hint="default" w:ascii="Times New Roman" w:hAnsi="Times New Roman" w:cs="Times New Roman"/>
                <w:kern w:val="0"/>
                <w:sz w:val="21"/>
                <w:szCs w:val="21"/>
              </w:rPr>
              <w:t>）</w:t>
            </w:r>
          </w:p>
        </w:tc>
        <w:tc>
          <w:tcPr>
            <w:tcW w:w="1113"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sz w:val="21"/>
                <w:szCs w:val="21"/>
              </w:rPr>
              <w:t>北面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rPr>
              <w:t>101生产车间一（丁类）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19</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西面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201原料罐区一（戊类）</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6.8</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818" w:type="dxa"/>
            <w:noWrap w:val="0"/>
            <w:vAlign w:val="center"/>
          </w:tcPr>
          <w:p>
            <w:pPr>
              <w:spacing w:line="240" w:lineRule="exact"/>
              <w:jc w:val="center"/>
              <w:rPr>
                <w:rFonts w:hint="default" w:ascii="Times New Roman" w:hAnsi="Times New Roman" w:cs="Times New Roman"/>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8"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sz w:val="21"/>
                <w:szCs w:val="21"/>
              </w:rPr>
              <w:t>东北面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312尾气处理装置区</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46</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818" w:type="dxa"/>
            <w:noWrap w:val="0"/>
            <w:vAlign w:val="center"/>
          </w:tcPr>
          <w:p>
            <w:pPr>
              <w:spacing w:line="240" w:lineRule="exact"/>
              <w:jc w:val="center"/>
              <w:rPr>
                <w:rFonts w:hint="default" w:ascii="Times New Roman" w:hAnsi="Times New Roman" w:cs="Times New Roman"/>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302锅炉房</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22</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3" w:hRule="atLeast"/>
          <w:jc w:val="center"/>
        </w:trPr>
        <w:tc>
          <w:tcPr>
            <w:tcW w:w="1391" w:type="dxa"/>
            <w:vMerge w:val="restart"/>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103生产车间三（丁类）</w:t>
            </w: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105烘干车间（丁类）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12</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3" w:hRule="atLeast"/>
          <w:jc w:val="center"/>
        </w:trPr>
        <w:tc>
          <w:tcPr>
            <w:tcW w:w="1391" w:type="dxa"/>
            <w:vMerge w:val="continue"/>
            <w:noWrap w:val="0"/>
            <w:vAlign w:val="center"/>
          </w:tcPr>
          <w:p>
            <w:pPr>
              <w:spacing w:line="240" w:lineRule="exact"/>
              <w:jc w:val="center"/>
              <w:rPr>
                <w:rFonts w:hint="default" w:ascii="Times New Roman" w:hAnsi="Times New Roman" w:cs="Times New Roman"/>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西面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312尾气处理装置区</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1485"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rPr>
              <w:t>/</w:t>
            </w:r>
          </w:p>
        </w:tc>
        <w:tc>
          <w:tcPr>
            <w:tcW w:w="1818" w:type="dxa"/>
            <w:noWrap w:val="0"/>
            <w:vAlign w:val="center"/>
          </w:tcPr>
          <w:p>
            <w:pPr>
              <w:spacing w:line="240" w:lineRule="exact"/>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6" w:hRule="atLeast"/>
          <w:jc w:val="center"/>
        </w:trPr>
        <w:tc>
          <w:tcPr>
            <w:tcW w:w="1391" w:type="dxa"/>
            <w:vMerge w:val="continue"/>
            <w:noWrap w:val="0"/>
            <w:vAlign w:val="center"/>
          </w:tcPr>
          <w:p>
            <w:pPr>
              <w:spacing w:line="240" w:lineRule="exact"/>
              <w:jc w:val="center"/>
              <w:rPr>
                <w:rFonts w:hint="default" w:ascii="Times New Roman" w:hAnsi="Times New Roman" w:cs="Times New Roman"/>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南面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围墙</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485"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818"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1391" w:type="dxa"/>
            <w:vMerge w:val="restart"/>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104生产车间四（丁类）</w:t>
            </w: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围墙</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485"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818"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1391" w:type="dxa"/>
            <w:vMerge w:val="continue"/>
            <w:noWrap w:val="0"/>
            <w:vAlign w:val="center"/>
          </w:tcPr>
          <w:p>
            <w:pPr>
              <w:spacing w:line="240" w:lineRule="exact"/>
              <w:jc w:val="center"/>
              <w:rPr>
                <w:rFonts w:hint="default" w:ascii="Times New Roman" w:hAnsi="Times New Roman" w:cs="Times New Roman"/>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南面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312尾气处理装置区</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1485"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818" w:type="dxa"/>
            <w:noWrap w:val="0"/>
            <w:vAlign w:val="center"/>
          </w:tcPr>
          <w:p>
            <w:pPr>
              <w:spacing w:line="240" w:lineRule="exact"/>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1391" w:type="dxa"/>
            <w:vMerge w:val="continue"/>
            <w:noWrap w:val="0"/>
            <w:vAlign w:val="center"/>
          </w:tcPr>
          <w:p>
            <w:pPr>
              <w:spacing w:line="240" w:lineRule="exact"/>
              <w:jc w:val="center"/>
              <w:rPr>
                <w:rFonts w:hint="default" w:ascii="Times New Roman" w:hAnsi="Times New Roman" w:cs="Times New Roman"/>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西面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101生产车间三（</w:t>
            </w:r>
            <w:r>
              <w:rPr>
                <w:rFonts w:hint="default" w:ascii="Times New Roman" w:hAnsi="Times New Roman" w:cs="Times New Roman"/>
                <w:sz w:val="21"/>
                <w:szCs w:val="21"/>
              </w:rPr>
              <w:t>丁类</w:t>
            </w:r>
            <w:r>
              <w:rPr>
                <w:rFonts w:hint="default" w:ascii="Times New Roman" w:hAnsi="Times New Roman" w:cs="Times New Roman"/>
                <w:kern w:val="0"/>
                <w:sz w:val="21"/>
                <w:szCs w:val="21"/>
              </w:rPr>
              <w:t>）</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14</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1391" w:type="dxa"/>
            <w:vMerge w:val="continue"/>
            <w:noWrap w:val="0"/>
            <w:vAlign w:val="center"/>
          </w:tcPr>
          <w:p>
            <w:pPr>
              <w:spacing w:line="240" w:lineRule="exact"/>
              <w:jc w:val="center"/>
              <w:rPr>
                <w:rFonts w:hint="default" w:ascii="Times New Roman" w:hAnsi="Times New Roman" w:cs="Times New Roman"/>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东面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104烘干车间（</w:t>
            </w:r>
            <w:r>
              <w:rPr>
                <w:rFonts w:hint="default" w:ascii="Times New Roman" w:hAnsi="Times New Roman" w:cs="Times New Roman"/>
                <w:sz w:val="21"/>
                <w:szCs w:val="21"/>
              </w:rPr>
              <w:t>丁类，</w:t>
            </w:r>
            <w:r>
              <w:rPr>
                <w:rFonts w:hint="default" w:ascii="Times New Roman" w:hAnsi="Times New Roman" w:cs="Times New Roman"/>
                <w:kern w:val="0"/>
                <w:sz w:val="21"/>
                <w:szCs w:val="21"/>
              </w:rPr>
              <w:t>）</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restart"/>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105烘干车间（丁类）</w:t>
            </w: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204成品仓库一（丁类）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西面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301变配电间</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相邻</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不限</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设有实体墙，无门窗、无孔洞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104生产车间四（</w:t>
            </w:r>
            <w:r>
              <w:rPr>
                <w:rFonts w:hint="default" w:ascii="Times New Roman" w:hAnsi="Times New Roman" w:cs="Times New Roman"/>
                <w:sz w:val="21"/>
                <w:szCs w:val="21"/>
              </w:rPr>
              <w:t>丁类，</w:t>
            </w:r>
            <w:r>
              <w:rPr>
                <w:rFonts w:hint="default" w:ascii="Times New Roman" w:hAnsi="Times New Roman" w:cs="Times New Roman"/>
                <w:kern w:val="0"/>
                <w:sz w:val="21"/>
                <w:szCs w:val="21"/>
              </w:rPr>
              <w:t>）</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东面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103生产车间三（丁类）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14</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1391" w:type="dxa"/>
            <w:vMerge w:val="restart"/>
            <w:noWrap w:val="0"/>
            <w:vAlign w:val="center"/>
          </w:tcPr>
          <w:p>
            <w:pPr>
              <w:spacing w:line="240" w:lineRule="exact"/>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201原料罐区</w:t>
            </w:r>
            <w:r>
              <w:rPr>
                <w:rFonts w:hint="default" w:ascii="Times New Roman" w:hAnsi="Times New Roman" w:cs="Times New Roman"/>
                <w:kern w:val="0"/>
                <w:sz w:val="21"/>
                <w:szCs w:val="21"/>
              </w:rPr>
              <w:t>（</w:t>
            </w:r>
            <w:r>
              <w:rPr>
                <w:rFonts w:hint="default" w:ascii="Times New Roman" w:hAnsi="Times New Roman" w:cs="Times New Roman"/>
                <w:kern w:val="0"/>
                <w:sz w:val="21"/>
                <w:szCs w:val="21"/>
                <w:lang w:val="en-US" w:eastAsia="zh-CN"/>
              </w:rPr>
              <w:t>戊</w:t>
            </w:r>
            <w:r>
              <w:rPr>
                <w:rFonts w:hint="default" w:ascii="Times New Roman" w:hAnsi="Times New Roman" w:cs="Times New Roman"/>
                <w:kern w:val="0"/>
                <w:sz w:val="21"/>
                <w:szCs w:val="21"/>
              </w:rPr>
              <w:t>类）</w:t>
            </w:r>
          </w:p>
        </w:tc>
        <w:tc>
          <w:tcPr>
            <w:tcW w:w="1113"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西面</w:t>
            </w:r>
          </w:p>
        </w:tc>
        <w:tc>
          <w:tcPr>
            <w:tcW w:w="2364" w:type="dxa"/>
            <w:noWrap w:val="0"/>
            <w:vAlign w:val="center"/>
          </w:tcPr>
          <w:p>
            <w:pPr>
              <w:spacing w:line="240" w:lineRule="exact"/>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202成品罐区</w:t>
            </w:r>
            <w:r>
              <w:rPr>
                <w:rFonts w:hint="default" w:ascii="Times New Roman" w:hAnsi="Times New Roman" w:cs="Times New Roman"/>
                <w:kern w:val="0"/>
                <w:sz w:val="21"/>
                <w:szCs w:val="21"/>
              </w:rPr>
              <w:t>（</w:t>
            </w:r>
            <w:r>
              <w:rPr>
                <w:rFonts w:hint="default" w:ascii="Times New Roman" w:hAnsi="Times New Roman" w:cs="Times New Roman"/>
                <w:kern w:val="0"/>
                <w:sz w:val="21"/>
                <w:szCs w:val="21"/>
                <w:lang w:val="en-US" w:eastAsia="zh-CN"/>
              </w:rPr>
              <w:t>戊</w:t>
            </w:r>
            <w:r>
              <w:rPr>
                <w:rFonts w:hint="default" w:ascii="Times New Roman" w:hAnsi="Times New Roman" w:cs="Times New Roman"/>
                <w:kern w:val="0"/>
                <w:sz w:val="21"/>
                <w:szCs w:val="21"/>
              </w:rPr>
              <w:t>类）</w:t>
            </w:r>
          </w:p>
        </w:tc>
        <w:tc>
          <w:tcPr>
            <w:tcW w:w="1117" w:type="dxa"/>
            <w:noWrap w:val="0"/>
            <w:vAlign w:val="center"/>
          </w:tcPr>
          <w:p>
            <w:pPr>
              <w:spacing w:line="240" w:lineRule="exact"/>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4.4</w:t>
            </w:r>
          </w:p>
        </w:tc>
        <w:tc>
          <w:tcPr>
            <w:tcW w:w="1485" w:type="dxa"/>
            <w:noWrap w:val="0"/>
            <w:vAlign w:val="center"/>
          </w:tcPr>
          <w:p>
            <w:pPr>
              <w:spacing w:line="240" w:lineRule="exact"/>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w:t>
            </w:r>
          </w:p>
        </w:tc>
        <w:tc>
          <w:tcPr>
            <w:tcW w:w="1818" w:type="dxa"/>
            <w:noWrap w:val="0"/>
            <w:vAlign w:val="center"/>
          </w:tcPr>
          <w:p>
            <w:pPr>
              <w:spacing w:line="240" w:lineRule="exact"/>
              <w:jc w:val="center"/>
              <w:rPr>
                <w:rFonts w:hint="default" w:ascii="Times New Roman" w:hAnsi="Times New Roman" w:cs="Times New Roman"/>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1391" w:type="dxa"/>
            <w:vMerge w:val="continue"/>
            <w:noWrap w:val="0"/>
            <w:vAlign w:val="center"/>
          </w:tcPr>
          <w:p>
            <w:pPr>
              <w:spacing w:line="240" w:lineRule="exact"/>
              <w:jc w:val="center"/>
              <w:rPr>
                <w:rFonts w:hint="default" w:ascii="Times New Roman" w:hAnsi="Times New Roman" w:cs="Times New Roman"/>
              </w:rPr>
            </w:pPr>
          </w:p>
        </w:tc>
        <w:tc>
          <w:tcPr>
            <w:tcW w:w="1113"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北面</w:t>
            </w:r>
          </w:p>
        </w:tc>
        <w:tc>
          <w:tcPr>
            <w:tcW w:w="2364"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309半成品仓库二</w:t>
            </w:r>
            <w:r>
              <w:rPr>
                <w:rFonts w:hint="default" w:ascii="Times New Roman" w:hAnsi="Times New Roman" w:cs="Times New Roman"/>
                <w:kern w:val="0"/>
                <w:sz w:val="21"/>
                <w:szCs w:val="21"/>
              </w:rPr>
              <w:t>（丁类）</w:t>
            </w:r>
          </w:p>
        </w:tc>
        <w:tc>
          <w:tcPr>
            <w:tcW w:w="1117"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12</w:t>
            </w:r>
          </w:p>
        </w:tc>
        <w:tc>
          <w:tcPr>
            <w:tcW w:w="1485"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lang w:val="en-US" w:eastAsia="zh-CN"/>
              </w:rPr>
              <w:t>/</w:t>
            </w:r>
          </w:p>
        </w:tc>
        <w:tc>
          <w:tcPr>
            <w:tcW w:w="1818" w:type="dxa"/>
            <w:noWrap w:val="0"/>
            <w:vAlign w:val="center"/>
          </w:tcPr>
          <w:p>
            <w:pPr>
              <w:spacing w:line="240" w:lineRule="exact"/>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1391" w:type="dxa"/>
            <w:vMerge w:val="continue"/>
            <w:noWrap w:val="0"/>
            <w:vAlign w:val="center"/>
          </w:tcPr>
          <w:p>
            <w:pPr>
              <w:spacing w:line="240" w:lineRule="exact"/>
              <w:jc w:val="center"/>
              <w:rPr>
                <w:rFonts w:hint="default" w:ascii="Times New Roman" w:hAnsi="Times New Roman" w:cs="Times New Roman"/>
                <w:sz w:val="21"/>
                <w:szCs w:val="21"/>
              </w:rPr>
            </w:pPr>
          </w:p>
        </w:tc>
        <w:tc>
          <w:tcPr>
            <w:tcW w:w="1113"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南面</w:t>
            </w:r>
          </w:p>
        </w:tc>
        <w:tc>
          <w:tcPr>
            <w:tcW w:w="2364"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306污水处理池</w:t>
            </w:r>
          </w:p>
        </w:tc>
        <w:tc>
          <w:tcPr>
            <w:tcW w:w="1117"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5.8</w:t>
            </w:r>
          </w:p>
        </w:tc>
        <w:tc>
          <w:tcPr>
            <w:tcW w:w="1485"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lang w:val="en-US" w:eastAsia="zh-CN"/>
              </w:rPr>
              <w:t>/</w:t>
            </w:r>
          </w:p>
        </w:tc>
        <w:tc>
          <w:tcPr>
            <w:tcW w:w="1818" w:type="dxa"/>
            <w:noWrap w:val="0"/>
            <w:vAlign w:val="center"/>
          </w:tcPr>
          <w:p>
            <w:pPr>
              <w:spacing w:line="240" w:lineRule="exact"/>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0" w:hRule="atLeast"/>
          <w:jc w:val="center"/>
        </w:trPr>
        <w:tc>
          <w:tcPr>
            <w:tcW w:w="1391" w:type="dxa"/>
            <w:vMerge w:val="continue"/>
            <w:noWrap w:val="0"/>
            <w:vAlign w:val="center"/>
          </w:tcPr>
          <w:p>
            <w:pPr>
              <w:spacing w:line="240" w:lineRule="exact"/>
              <w:jc w:val="center"/>
              <w:rPr>
                <w:rFonts w:hint="default" w:ascii="Times New Roman" w:hAnsi="Times New Roman" w:cs="Times New Roman"/>
                <w:sz w:val="21"/>
                <w:szCs w:val="21"/>
              </w:rPr>
            </w:pPr>
          </w:p>
        </w:tc>
        <w:tc>
          <w:tcPr>
            <w:tcW w:w="1113"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东面</w:t>
            </w:r>
          </w:p>
        </w:tc>
        <w:tc>
          <w:tcPr>
            <w:tcW w:w="2364"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102生产车间二</w:t>
            </w:r>
            <w:r>
              <w:rPr>
                <w:rFonts w:hint="default" w:ascii="Times New Roman" w:hAnsi="Times New Roman" w:cs="Times New Roman"/>
                <w:kern w:val="0"/>
                <w:sz w:val="21"/>
                <w:szCs w:val="21"/>
              </w:rPr>
              <w:t>（丁类）</w:t>
            </w:r>
          </w:p>
        </w:tc>
        <w:tc>
          <w:tcPr>
            <w:tcW w:w="1117"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7</w:t>
            </w:r>
          </w:p>
        </w:tc>
        <w:tc>
          <w:tcPr>
            <w:tcW w:w="1485"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lang w:val="en-US" w:eastAsia="zh-CN"/>
              </w:rPr>
              <w:t>/</w:t>
            </w:r>
          </w:p>
        </w:tc>
        <w:tc>
          <w:tcPr>
            <w:tcW w:w="1818" w:type="dxa"/>
            <w:noWrap w:val="0"/>
            <w:vAlign w:val="center"/>
          </w:tcPr>
          <w:p>
            <w:pPr>
              <w:spacing w:line="240" w:lineRule="exact"/>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1391" w:type="dxa"/>
            <w:vMerge w:val="restart"/>
            <w:noWrap w:val="0"/>
            <w:vAlign w:val="center"/>
          </w:tcPr>
          <w:p>
            <w:pPr>
              <w:spacing w:line="240" w:lineRule="exact"/>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202成品罐区</w:t>
            </w:r>
            <w:r>
              <w:rPr>
                <w:rFonts w:hint="default" w:ascii="Times New Roman" w:hAnsi="Times New Roman" w:cs="Times New Roman"/>
                <w:kern w:val="0"/>
                <w:sz w:val="21"/>
                <w:szCs w:val="21"/>
              </w:rPr>
              <w:t>（</w:t>
            </w:r>
            <w:r>
              <w:rPr>
                <w:rFonts w:hint="default" w:ascii="Times New Roman" w:hAnsi="Times New Roman" w:cs="Times New Roman"/>
                <w:kern w:val="0"/>
                <w:sz w:val="21"/>
                <w:szCs w:val="21"/>
                <w:lang w:val="en-US" w:eastAsia="zh-CN"/>
              </w:rPr>
              <w:t>戊</w:t>
            </w:r>
            <w:r>
              <w:rPr>
                <w:rFonts w:hint="default" w:ascii="Times New Roman" w:hAnsi="Times New Roman" w:cs="Times New Roman"/>
                <w:kern w:val="0"/>
                <w:sz w:val="21"/>
                <w:szCs w:val="21"/>
              </w:rPr>
              <w:t>类）</w:t>
            </w:r>
          </w:p>
        </w:tc>
        <w:tc>
          <w:tcPr>
            <w:tcW w:w="1113" w:type="dxa"/>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西面</w:t>
            </w:r>
          </w:p>
        </w:tc>
        <w:tc>
          <w:tcPr>
            <w:tcW w:w="2364" w:type="dxa"/>
            <w:noWrap w:val="0"/>
            <w:vAlign w:val="center"/>
          </w:tcPr>
          <w:p>
            <w:pPr>
              <w:spacing w:line="240" w:lineRule="exact"/>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厂区围墙</w:t>
            </w:r>
          </w:p>
        </w:tc>
        <w:tc>
          <w:tcPr>
            <w:tcW w:w="1117" w:type="dxa"/>
            <w:noWrap w:val="0"/>
            <w:vAlign w:val="center"/>
          </w:tcPr>
          <w:p>
            <w:pPr>
              <w:spacing w:line="240" w:lineRule="exact"/>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1.4</w:t>
            </w:r>
          </w:p>
        </w:tc>
        <w:tc>
          <w:tcPr>
            <w:tcW w:w="1485" w:type="dxa"/>
            <w:noWrap w:val="0"/>
            <w:vAlign w:val="center"/>
          </w:tcPr>
          <w:p>
            <w:pPr>
              <w:spacing w:line="240" w:lineRule="exact"/>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w:t>
            </w:r>
          </w:p>
        </w:tc>
        <w:tc>
          <w:tcPr>
            <w:tcW w:w="1818" w:type="dxa"/>
            <w:noWrap w:val="0"/>
            <w:vAlign w:val="center"/>
          </w:tcPr>
          <w:p>
            <w:pPr>
              <w:spacing w:line="240" w:lineRule="exact"/>
              <w:jc w:val="center"/>
              <w:rPr>
                <w:rFonts w:hint="default" w:ascii="Times New Roman" w:hAnsi="Times New Roman" w:cs="Times New Roman"/>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1391" w:type="dxa"/>
            <w:vMerge w:val="continue"/>
            <w:noWrap w:val="0"/>
            <w:vAlign w:val="center"/>
          </w:tcPr>
          <w:p>
            <w:pPr>
              <w:spacing w:line="240" w:lineRule="exact"/>
              <w:jc w:val="center"/>
              <w:rPr>
                <w:rFonts w:hint="default" w:ascii="Times New Roman" w:hAnsi="Times New Roman" w:cs="Times New Roman"/>
              </w:rPr>
            </w:pPr>
          </w:p>
        </w:tc>
        <w:tc>
          <w:tcPr>
            <w:tcW w:w="1113" w:type="dxa"/>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北面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309半成品仓库二</w:t>
            </w:r>
            <w:r>
              <w:rPr>
                <w:rFonts w:hint="default" w:ascii="Times New Roman" w:hAnsi="Times New Roman" w:cs="Times New Roman"/>
                <w:kern w:val="0"/>
                <w:sz w:val="21"/>
                <w:szCs w:val="21"/>
              </w:rPr>
              <w:t>（丁类）</w:t>
            </w:r>
          </w:p>
        </w:tc>
        <w:tc>
          <w:tcPr>
            <w:tcW w:w="1117"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4.2</w:t>
            </w:r>
          </w:p>
        </w:tc>
        <w:tc>
          <w:tcPr>
            <w:tcW w:w="1485"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lang w:val="en-US" w:eastAsia="zh-CN"/>
              </w:rPr>
              <w:t>/</w:t>
            </w:r>
          </w:p>
        </w:tc>
        <w:tc>
          <w:tcPr>
            <w:tcW w:w="1818" w:type="dxa"/>
            <w:noWrap w:val="0"/>
            <w:vAlign w:val="center"/>
          </w:tcPr>
          <w:p>
            <w:pPr>
              <w:spacing w:line="240" w:lineRule="exact"/>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1391" w:type="dxa"/>
            <w:vMerge w:val="continue"/>
            <w:noWrap w:val="0"/>
            <w:vAlign w:val="center"/>
          </w:tcPr>
          <w:p>
            <w:pPr>
              <w:spacing w:line="240" w:lineRule="exact"/>
              <w:jc w:val="center"/>
              <w:rPr>
                <w:rFonts w:hint="default" w:ascii="Times New Roman" w:hAnsi="Times New Roman" w:cs="Times New Roman"/>
                <w:sz w:val="21"/>
                <w:szCs w:val="21"/>
              </w:rPr>
            </w:pPr>
          </w:p>
        </w:tc>
        <w:tc>
          <w:tcPr>
            <w:tcW w:w="1113" w:type="dxa"/>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南面</w:t>
            </w:r>
          </w:p>
        </w:tc>
        <w:tc>
          <w:tcPr>
            <w:tcW w:w="2364" w:type="dxa"/>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306污水处理池</w:t>
            </w:r>
          </w:p>
        </w:tc>
        <w:tc>
          <w:tcPr>
            <w:tcW w:w="1117" w:type="dxa"/>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19.5</w:t>
            </w:r>
          </w:p>
        </w:tc>
        <w:tc>
          <w:tcPr>
            <w:tcW w:w="1485" w:type="dxa"/>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lang w:val="en-US" w:eastAsia="zh-CN"/>
              </w:rPr>
              <w:t>/</w:t>
            </w:r>
          </w:p>
        </w:tc>
        <w:tc>
          <w:tcPr>
            <w:tcW w:w="1818" w:type="dxa"/>
            <w:noWrap w:val="0"/>
            <w:vAlign w:val="center"/>
          </w:tcPr>
          <w:p>
            <w:pPr>
              <w:spacing w:line="240" w:lineRule="exact"/>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7" w:hRule="atLeast"/>
          <w:jc w:val="center"/>
        </w:trPr>
        <w:tc>
          <w:tcPr>
            <w:tcW w:w="1391" w:type="dxa"/>
            <w:vMerge w:val="continue"/>
            <w:noWrap w:val="0"/>
            <w:vAlign w:val="center"/>
          </w:tcPr>
          <w:p>
            <w:pPr>
              <w:spacing w:line="240" w:lineRule="exact"/>
              <w:jc w:val="center"/>
              <w:rPr>
                <w:rFonts w:hint="default" w:ascii="Times New Roman" w:hAnsi="Times New Roman" w:cs="Times New Roman"/>
                <w:sz w:val="21"/>
                <w:szCs w:val="21"/>
              </w:rPr>
            </w:pPr>
          </w:p>
        </w:tc>
        <w:tc>
          <w:tcPr>
            <w:tcW w:w="1113" w:type="dxa"/>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东面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lang w:val="en-US" w:eastAsia="zh-CN"/>
              </w:rPr>
              <w:t>201原料罐区</w:t>
            </w:r>
            <w:r>
              <w:rPr>
                <w:rFonts w:hint="default" w:ascii="Times New Roman" w:hAnsi="Times New Roman" w:cs="Times New Roman"/>
                <w:kern w:val="0"/>
                <w:sz w:val="21"/>
                <w:szCs w:val="21"/>
              </w:rPr>
              <w:t>（</w:t>
            </w:r>
            <w:r>
              <w:rPr>
                <w:rFonts w:hint="default" w:ascii="Times New Roman" w:hAnsi="Times New Roman" w:cs="Times New Roman"/>
                <w:kern w:val="0"/>
                <w:sz w:val="21"/>
                <w:szCs w:val="21"/>
                <w:lang w:val="en-US" w:eastAsia="zh-CN"/>
              </w:rPr>
              <w:t>戊</w:t>
            </w:r>
            <w:r>
              <w:rPr>
                <w:rFonts w:hint="default" w:ascii="Times New Roman" w:hAnsi="Times New Roman" w:cs="Times New Roman"/>
                <w:kern w:val="0"/>
                <w:sz w:val="21"/>
                <w:szCs w:val="21"/>
              </w:rPr>
              <w:t>类）</w:t>
            </w:r>
          </w:p>
        </w:tc>
        <w:tc>
          <w:tcPr>
            <w:tcW w:w="1117" w:type="dxa"/>
            <w:noWrap w:val="0"/>
            <w:vAlign w:val="center"/>
          </w:tcPr>
          <w:p>
            <w:pPr>
              <w:spacing w:line="24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4.4</w:t>
            </w:r>
          </w:p>
        </w:tc>
        <w:tc>
          <w:tcPr>
            <w:tcW w:w="1485" w:type="dxa"/>
            <w:noWrap w:val="0"/>
            <w:vAlign w:val="center"/>
          </w:tcPr>
          <w:p>
            <w:pPr>
              <w:spacing w:line="24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rPr>
              <w:t>/</w:t>
            </w:r>
          </w:p>
        </w:tc>
        <w:tc>
          <w:tcPr>
            <w:tcW w:w="1818" w:type="dxa"/>
            <w:noWrap w:val="0"/>
            <w:vAlign w:val="center"/>
          </w:tcPr>
          <w:p>
            <w:pPr>
              <w:spacing w:line="240" w:lineRule="exact"/>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restart"/>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eastAsia="zh-CN"/>
              </w:rPr>
              <w:t>203烘干包装库</w:t>
            </w:r>
            <w:r>
              <w:rPr>
                <w:rFonts w:hint="default" w:ascii="Times New Roman" w:hAnsi="Times New Roman" w:cs="Times New Roman"/>
                <w:kern w:val="0"/>
                <w:sz w:val="21"/>
                <w:szCs w:val="21"/>
              </w:rPr>
              <w:t>（丁类）</w:t>
            </w: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西面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204成品仓库一（丁类）</w:t>
            </w:r>
          </w:p>
        </w:tc>
        <w:tc>
          <w:tcPr>
            <w:tcW w:w="1117" w:type="dxa"/>
            <w:noWrap w:val="0"/>
            <w:vAlign w:val="center"/>
          </w:tcPr>
          <w:p>
            <w:pPr>
              <w:spacing w:line="240" w:lineRule="exact"/>
              <w:jc w:val="center"/>
              <w:rPr>
                <w:rFonts w:hint="default" w:ascii="Times New Roman" w:hAnsi="Times New Roman" w:eastAsia="宋体" w:cs="Times New Roman"/>
                <w:kern w:val="0"/>
                <w:sz w:val="21"/>
                <w:szCs w:val="21"/>
                <w:lang w:eastAsia="zh-CN"/>
              </w:rPr>
            </w:pPr>
            <w:r>
              <w:rPr>
                <w:rFonts w:hint="default" w:ascii="Times New Roman" w:hAnsi="Times New Roman" w:cs="Times New Roman"/>
                <w:kern w:val="0"/>
                <w:sz w:val="21"/>
                <w:szCs w:val="21"/>
              </w:rPr>
              <w:t>1</w:t>
            </w:r>
            <w:r>
              <w:rPr>
                <w:rFonts w:hint="default" w:ascii="Times New Roman" w:hAnsi="Times New Roman" w:cs="Times New Roman"/>
                <w:kern w:val="0"/>
                <w:sz w:val="21"/>
                <w:szCs w:val="21"/>
                <w:lang w:val="en-US" w:eastAsia="zh-CN"/>
              </w:rPr>
              <w:t>2</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103生产车间三（丁类）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1391" w:type="dxa"/>
            <w:vMerge w:val="continue"/>
            <w:noWrap w:val="0"/>
            <w:vAlign w:val="center"/>
          </w:tcPr>
          <w:p>
            <w:pPr>
              <w:spacing w:line="240" w:lineRule="exact"/>
              <w:jc w:val="center"/>
              <w:rPr>
                <w:rFonts w:hint="default" w:ascii="Times New Roman" w:hAnsi="Times New Roman" w:cs="Times New Roman"/>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北面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308半成品仓库（丁类）</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485"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818"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1391" w:type="dxa"/>
            <w:vMerge w:val="restart"/>
            <w:noWrap w:val="0"/>
            <w:vAlign w:val="center"/>
          </w:tcPr>
          <w:p>
            <w:pPr>
              <w:spacing w:line="240" w:lineRule="exact"/>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rPr>
              <w:t>204成品仓库一（丁类）</w:t>
            </w: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北面</w:t>
            </w:r>
          </w:p>
        </w:tc>
        <w:tc>
          <w:tcPr>
            <w:tcW w:w="2364" w:type="dxa"/>
            <w:noWrap w:val="0"/>
            <w:vAlign w:val="center"/>
          </w:tcPr>
          <w:p>
            <w:pPr>
              <w:spacing w:line="240" w:lineRule="exact"/>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405分析室</w:t>
            </w:r>
          </w:p>
        </w:tc>
        <w:tc>
          <w:tcPr>
            <w:tcW w:w="1117" w:type="dxa"/>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12</w:t>
            </w:r>
          </w:p>
        </w:tc>
        <w:tc>
          <w:tcPr>
            <w:tcW w:w="1485" w:type="dxa"/>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10</w:t>
            </w:r>
          </w:p>
        </w:tc>
        <w:tc>
          <w:tcPr>
            <w:tcW w:w="1818" w:type="dxa"/>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1391" w:type="dxa"/>
            <w:vMerge w:val="continue"/>
            <w:noWrap w:val="0"/>
            <w:vAlign w:val="center"/>
          </w:tcPr>
          <w:p>
            <w:pPr>
              <w:spacing w:line="240" w:lineRule="exact"/>
              <w:jc w:val="center"/>
              <w:rPr>
                <w:rFonts w:hint="default" w:ascii="Times New Roman" w:hAnsi="Times New Roman" w:cs="Times New Roman"/>
              </w:rPr>
            </w:pPr>
          </w:p>
        </w:tc>
        <w:tc>
          <w:tcPr>
            <w:tcW w:w="1113"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南面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rPr>
              <w:t>105烘干车间（丁类）</w:t>
            </w:r>
          </w:p>
        </w:tc>
        <w:tc>
          <w:tcPr>
            <w:tcW w:w="1117" w:type="dxa"/>
            <w:noWrap w:val="0"/>
            <w:vAlign w:val="center"/>
          </w:tcPr>
          <w:p>
            <w:pPr>
              <w:spacing w:line="24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15</w:t>
            </w:r>
          </w:p>
        </w:tc>
        <w:tc>
          <w:tcPr>
            <w:tcW w:w="1485" w:type="dxa"/>
            <w:noWrap w:val="0"/>
            <w:vAlign w:val="center"/>
          </w:tcPr>
          <w:p>
            <w:pPr>
              <w:spacing w:line="24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7" w:hRule="atLeast"/>
          <w:jc w:val="center"/>
        </w:trPr>
        <w:tc>
          <w:tcPr>
            <w:tcW w:w="1391" w:type="dxa"/>
            <w:vMerge w:val="continue"/>
            <w:noWrap w:val="0"/>
            <w:vAlign w:val="center"/>
          </w:tcPr>
          <w:p>
            <w:pPr>
              <w:spacing w:line="240" w:lineRule="exact"/>
              <w:jc w:val="center"/>
              <w:rPr>
                <w:rFonts w:hint="default" w:ascii="Times New Roman" w:hAnsi="Times New Roman" w:cs="Times New Roman"/>
                <w:sz w:val="21"/>
                <w:szCs w:val="21"/>
              </w:rPr>
            </w:pPr>
          </w:p>
        </w:tc>
        <w:tc>
          <w:tcPr>
            <w:tcW w:w="1113"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西面</w:t>
            </w:r>
          </w:p>
        </w:tc>
        <w:tc>
          <w:tcPr>
            <w:tcW w:w="2364"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厂区围墙</w:t>
            </w:r>
          </w:p>
        </w:tc>
        <w:tc>
          <w:tcPr>
            <w:tcW w:w="1117"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8</w:t>
            </w:r>
          </w:p>
        </w:tc>
        <w:tc>
          <w:tcPr>
            <w:tcW w:w="1485"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w:t>
            </w:r>
          </w:p>
        </w:tc>
        <w:tc>
          <w:tcPr>
            <w:tcW w:w="1818" w:type="dxa"/>
            <w:noWrap w:val="0"/>
            <w:vAlign w:val="center"/>
          </w:tcPr>
          <w:p>
            <w:pPr>
              <w:spacing w:line="24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w:t>
            </w:r>
            <w:r>
              <w:rPr>
                <w:rFonts w:hint="default" w:ascii="Times New Roman" w:hAnsi="Times New Roman" w:cs="Times New Roman"/>
                <w:bCs/>
                <w:sz w:val="21"/>
                <w:szCs w:val="21"/>
                <w:lang w:val="en-US" w:eastAsia="zh-CN"/>
              </w:rPr>
              <w:t>5</w:t>
            </w:r>
            <w:r>
              <w:rPr>
                <w:rFonts w:hint="default" w:ascii="Times New Roman" w:hAnsi="Times New Roman" w:cs="Times New Roman"/>
                <w:bCs/>
                <w:sz w:val="21"/>
                <w:szCs w:val="21"/>
              </w:rPr>
              <w:t>.</w:t>
            </w:r>
            <w:r>
              <w:rPr>
                <w:rFonts w:hint="default" w:ascii="Times New Roman" w:hAnsi="Times New Roman" w:cs="Times New Roman"/>
                <w:bCs/>
                <w:sz w:val="21"/>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jc w:val="center"/>
        </w:trPr>
        <w:tc>
          <w:tcPr>
            <w:tcW w:w="1391" w:type="dxa"/>
            <w:vMerge w:val="continue"/>
            <w:noWrap w:val="0"/>
            <w:vAlign w:val="center"/>
          </w:tcPr>
          <w:p>
            <w:pPr>
              <w:spacing w:line="240" w:lineRule="exact"/>
              <w:jc w:val="center"/>
              <w:rPr>
                <w:rFonts w:hint="default" w:ascii="Times New Roman" w:hAnsi="Times New Roman" w:cs="Times New Roman"/>
                <w:sz w:val="21"/>
                <w:szCs w:val="21"/>
              </w:rPr>
            </w:pPr>
          </w:p>
        </w:tc>
        <w:tc>
          <w:tcPr>
            <w:tcW w:w="1113"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东面</w:t>
            </w:r>
          </w:p>
        </w:tc>
        <w:tc>
          <w:tcPr>
            <w:tcW w:w="2364"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lang w:eastAsia="zh-CN"/>
              </w:rPr>
              <w:t>203烘干包装库</w:t>
            </w:r>
            <w:r>
              <w:rPr>
                <w:rFonts w:hint="default" w:ascii="Times New Roman" w:hAnsi="Times New Roman" w:cs="Times New Roman"/>
                <w:kern w:val="0"/>
                <w:sz w:val="21"/>
                <w:szCs w:val="21"/>
              </w:rPr>
              <w:t>（丁类）</w:t>
            </w:r>
          </w:p>
        </w:tc>
        <w:tc>
          <w:tcPr>
            <w:tcW w:w="1117"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12</w:t>
            </w:r>
          </w:p>
        </w:tc>
        <w:tc>
          <w:tcPr>
            <w:tcW w:w="1485" w:type="dxa"/>
            <w:noWrap w:val="0"/>
            <w:vAlign w:val="center"/>
          </w:tcPr>
          <w:p>
            <w:pPr>
              <w:spacing w:line="24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1391" w:type="dxa"/>
            <w:vMerge w:val="restart"/>
            <w:noWrap w:val="0"/>
            <w:vAlign w:val="center"/>
          </w:tcPr>
          <w:p>
            <w:pPr>
              <w:spacing w:line="240" w:lineRule="exact"/>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205原料仓库二</w:t>
            </w:r>
            <w:r>
              <w:rPr>
                <w:rFonts w:hint="default" w:ascii="Times New Roman" w:hAnsi="Times New Roman" w:cs="Times New Roman"/>
                <w:sz w:val="21"/>
                <w:szCs w:val="21"/>
              </w:rPr>
              <w:t>（丁类）</w:t>
            </w:r>
          </w:p>
        </w:tc>
        <w:tc>
          <w:tcPr>
            <w:tcW w:w="1113"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北面</w:t>
            </w:r>
          </w:p>
        </w:tc>
        <w:tc>
          <w:tcPr>
            <w:tcW w:w="2364" w:type="dxa"/>
            <w:noWrap w:val="0"/>
            <w:vAlign w:val="center"/>
          </w:tcPr>
          <w:p>
            <w:pPr>
              <w:spacing w:line="240" w:lineRule="exact"/>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402生产研发楼</w:t>
            </w:r>
          </w:p>
        </w:tc>
        <w:tc>
          <w:tcPr>
            <w:tcW w:w="1117" w:type="dxa"/>
            <w:noWrap w:val="0"/>
            <w:vAlign w:val="center"/>
          </w:tcPr>
          <w:p>
            <w:pPr>
              <w:spacing w:line="240" w:lineRule="exact"/>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贴邻</w:t>
            </w:r>
          </w:p>
        </w:tc>
        <w:tc>
          <w:tcPr>
            <w:tcW w:w="1485" w:type="dxa"/>
            <w:noWrap w:val="0"/>
            <w:vAlign w:val="center"/>
          </w:tcPr>
          <w:p>
            <w:pPr>
              <w:spacing w:line="240" w:lineRule="exact"/>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10</w:t>
            </w:r>
          </w:p>
        </w:tc>
        <w:tc>
          <w:tcPr>
            <w:tcW w:w="1818" w:type="dxa"/>
            <w:noWrap w:val="0"/>
            <w:vAlign w:val="center"/>
          </w:tcPr>
          <w:p>
            <w:pPr>
              <w:spacing w:line="240" w:lineRule="exact"/>
              <w:jc w:val="center"/>
              <w:rPr>
                <w:rFonts w:hint="default" w:ascii="Times New Roman" w:hAnsi="Times New Roman" w:eastAsia="宋体" w:cs="Times New Roman"/>
                <w:kern w:val="0"/>
                <w:sz w:val="21"/>
                <w:szCs w:val="21"/>
                <w:lang w:val="en-US" w:eastAsia="zh-CN"/>
              </w:rPr>
            </w:pPr>
            <w:r>
              <w:rPr>
                <w:rFonts w:hint="default" w:ascii="Times New Roman" w:hAnsi="Times New Roman" w:cs="Times New Roman"/>
                <w:kern w:val="0"/>
                <w:sz w:val="21"/>
                <w:szCs w:val="21"/>
                <w:lang w:val="en-US" w:eastAsia="zh-CN"/>
              </w:rPr>
              <w:t>不符合</w:t>
            </w:r>
            <w:r>
              <w:rPr>
                <w:rFonts w:hint="eastAsia" w:ascii="Times New Roman" w:hAnsi="Times New Roman" w:cs="Times New Roman"/>
                <w:kern w:val="0"/>
                <w:sz w:val="21"/>
                <w:szCs w:val="21"/>
                <w:lang w:val="en-US" w:eastAsia="zh-CN"/>
              </w:rPr>
              <w:t>已停用</w:t>
            </w:r>
            <w:r>
              <w:rPr>
                <w:rFonts w:hint="default" w:ascii="Times New Roman" w:hAnsi="Times New Roman" w:cs="Times New Roman"/>
                <w:kern w:val="0"/>
                <w:sz w:val="21"/>
                <w:szCs w:val="21"/>
                <w:lang w:val="en-US" w:eastAsia="zh-CN"/>
              </w:rPr>
              <w:t>，</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1391" w:type="dxa"/>
            <w:vMerge w:val="continue"/>
            <w:noWrap w:val="0"/>
            <w:vAlign w:val="center"/>
          </w:tcPr>
          <w:p>
            <w:pPr>
              <w:spacing w:line="240" w:lineRule="exact"/>
              <w:jc w:val="center"/>
              <w:rPr>
                <w:rFonts w:hint="default" w:ascii="Times New Roman" w:hAnsi="Times New Roman" w:cs="Times New Roman"/>
              </w:rPr>
            </w:pPr>
          </w:p>
        </w:tc>
        <w:tc>
          <w:tcPr>
            <w:tcW w:w="1113"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南面</w:t>
            </w:r>
          </w:p>
        </w:tc>
        <w:tc>
          <w:tcPr>
            <w:tcW w:w="2364"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405分析室</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lang w:val="en-US" w:eastAsia="zh-CN"/>
              </w:rPr>
              <w:t>贴邻</w:t>
            </w:r>
          </w:p>
        </w:tc>
        <w:tc>
          <w:tcPr>
            <w:tcW w:w="1485"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lang w:val="en-US" w:eastAsia="zh-CN"/>
              </w:rPr>
              <w:t>10</w:t>
            </w:r>
          </w:p>
        </w:tc>
        <w:tc>
          <w:tcPr>
            <w:tcW w:w="1818"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lang w:val="en-US" w:eastAsia="zh-CN"/>
              </w:rPr>
              <w:t>不符合已停用，</w:t>
            </w: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1391" w:type="dxa"/>
            <w:vMerge w:val="continue"/>
            <w:noWrap w:val="0"/>
            <w:vAlign w:val="center"/>
          </w:tcPr>
          <w:p>
            <w:pPr>
              <w:spacing w:line="240" w:lineRule="exact"/>
              <w:jc w:val="center"/>
              <w:rPr>
                <w:rFonts w:hint="default" w:ascii="Times New Roman" w:hAnsi="Times New Roman" w:cs="Times New Roman"/>
                <w:sz w:val="21"/>
                <w:szCs w:val="21"/>
              </w:rPr>
            </w:pPr>
          </w:p>
        </w:tc>
        <w:tc>
          <w:tcPr>
            <w:tcW w:w="1113"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西面</w:t>
            </w:r>
          </w:p>
        </w:tc>
        <w:tc>
          <w:tcPr>
            <w:tcW w:w="2364"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厂区围墙</w:t>
            </w:r>
          </w:p>
        </w:tc>
        <w:tc>
          <w:tcPr>
            <w:tcW w:w="1117"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lang w:val="en-US" w:eastAsia="zh-CN"/>
              </w:rPr>
              <w:t>贴邻</w:t>
            </w:r>
          </w:p>
        </w:tc>
        <w:tc>
          <w:tcPr>
            <w:tcW w:w="1485"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w:t>
            </w:r>
          </w:p>
        </w:tc>
        <w:tc>
          <w:tcPr>
            <w:tcW w:w="1818"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bCs/>
                <w:sz w:val="21"/>
                <w:szCs w:val="21"/>
                <w:lang w:val="en-US" w:eastAsia="zh-CN"/>
              </w:rPr>
              <w:t>不符合，</w:t>
            </w:r>
            <w:r>
              <w:rPr>
                <w:rFonts w:hint="default" w:ascii="Times New Roman" w:hAnsi="Times New Roman" w:cs="Times New Roman"/>
                <w:bCs/>
                <w:sz w:val="21"/>
                <w:szCs w:val="21"/>
              </w:rPr>
              <w:t>《建筑设计防火规范》（2018版）3.</w:t>
            </w:r>
            <w:r>
              <w:rPr>
                <w:rFonts w:hint="default" w:ascii="Times New Roman" w:hAnsi="Times New Roman" w:cs="Times New Roman"/>
                <w:bCs/>
                <w:sz w:val="21"/>
                <w:szCs w:val="21"/>
                <w:lang w:val="en-US" w:eastAsia="zh-CN"/>
              </w:rPr>
              <w:t>5</w:t>
            </w:r>
            <w:r>
              <w:rPr>
                <w:rFonts w:hint="default" w:ascii="Times New Roman" w:hAnsi="Times New Roman" w:cs="Times New Roman"/>
                <w:bCs/>
                <w:sz w:val="21"/>
                <w:szCs w:val="21"/>
              </w:rPr>
              <w:t>.</w:t>
            </w:r>
            <w:r>
              <w:rPr>
                <w:rFonts w:hint="default" w:ascii="Times New Roman" w:hAnsi="Times New Roman" w:cs="Times New Roman"/>
                <w:bCs/>
                <w:sz w:val="21"/>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 w:hRule="atLeast"/>
          <w:jc w:val="center"/>
        </w:trPr>
        <w:tc>
          <w:tcPr>
            <w:tcW w:w="1391" w:type="dxa"/>
            <w:vMerge w:val="continue"/>
            <w:noWrap w:val="0"/>
            <w:vAlign w:val="center"/>
          </w:tcPr>
          <w:p>
            <w:pPr>
              <w:spacing w:line="240" w:lineRule="exact"/>
              <w:jc w:val="center"/>
              <w:rPr>
                <w:rFonts w:hint="default" w:ascii="Times New Roman" w:hAnsi="Times New Roman" w:cs="Times New Roman"/>
                <w:sz w:val="21"/>
                <w:szCs w:val="21"/>
              </w:rPr>
            </w:pPr>
          </w:p>
        </w:tc>
        <w:tc>
          <w:tcPr>
            <w:tcW w:w="1113"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东面</w:t>
            </w:r>
          </w:p>
        </w:tc>
        <w:tc>
          <w:tcPr>
            <w:tcW w:w="2364"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308半成品仓库</w:t>
            </w:r>
            <w:r>
              <w:rPr>
                <w:rFonts w:hint="default" w:ascii="Times New Roman" w:hAnsi="Times New Roman" w:cs="Times New Roman"/>
                <w:kern w:val="0"/>
                <w:sz w:val="21"/>
                <w:szCs w:val="21"/>
              </w:rPr>
              <w:t>（丁类）</w:t>
            </w:r>
          </w:p>
        </w:tc>
        <w:tc>
          <w:tcPr>
            <w:tcW w:w="1117"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16</w:t>
            </w:r>
          </w:p>
        </w:tc>
        <w:tc>
          <w:tcPr>
            <w:tcW w:w="1485"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lang w:val="en-US" w:eastAsia="zh-CN"/>
              </w:rPr>
              <w:t>10</w:t>
            </w:r>
          </w:p>
        </w:tc>
        <w:tc>
          <w:tcPr>
            <w:tcW w:w="1818"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bCs/>
                <w:sz w:val="21"/>
                <w:szCs w:val="21"/>
                <w:lang w:val="en-US" w:eastAsia="zh-CN"/>
              </w:rPr>
              <w:t>符合，</w:t>
            </w:r>
            <w:r>
              <w:rPr>
                <w:rFonts w:hint="default" w:ascii="Times New Roman" w:hAnsi="Times New Roman" w:cs="Times New Roman"/>
                <w:bCs/>
                <w:sz w:val="21"/>
                <w:szCs w:val="21"/>
              </w:rPr>
              <w:t>《建筑设计防火规范》（2018版）3.</w:t>
            </w:r>
            <w:r>
              <w:rPr>
                <w:rFonts w:hint="default" w:ascii="Times New Roman" w:hAnsi="Times New Roman" w:cs="Times New Roman"/>
                <w:bCs/>
                <w:sz w:val="21"/>
                <w:szCs w:val="21"/>
                <w:lang w:val="en-US" w:eastAsia="zh-CN"/>
              </w:rPr>
              <w:t>5</w:t>
            </w:r>
            <w:r>
              <w:rPr>
                <w:rFonts w:hint="default" w:ascii="Times New Roman" w:hAnsi="Times New Roman" w:cs="Times New Roman"/>
                <w:bCs/>
                <w:sz w:val="21"/>
                <w:szCs w:val="21"/>
              </w:rPr>
              <w:t>.</w:t>
            </w:r>
            <w:r>
              <w:rPr>
                <w:rFonts w:hint="default" w:ascii="Times New Roman" w:hAnsi="Times New Roman" w:cs="Times New Roman"/>
                <w:bCs/>
                <w:sz w:val="21"/>
                <w:szCs w:val="21"/>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 w:hRule="atLeast"/>
          <w:jc w:val="center"/>
        </w:trPr>
        <w:tc>
          <w:tcPr>
            <w:tcW w:w="1391" w:type="dxa"/>
            <w:vMerge w:val="restart"/>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301变配电间</w:t>
            </w: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204成品仓库一（丁类）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818" w:type="dxa"/>
            <w:noWrap w:val="0"/>
            <w:vAlign w:val="center"/>
          </w:tcPr>
          <w:p>
            <w:pPr>
              <w:spacing w:line="240" w:lineRule="exact"/>
              <w:jc w:val="center"/>
              <w:rPr>
                <w:rFonts w:hint="default" w:ascii="Times New Roman" w:hAnsi="Times New Roman" w:cs="Times New Roman"/>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5" w:hRule="atLeast"/>
          <w:jc w:val="center"/>
        </w:trPr>
        <w:tc>
          <w:tcPr>
            <w:tcW w:w="1391" w:type="dxa"/>
            <w:vMerge w:val="continue"/>
            <w:noWrap w:val="0"/>
            <w:vAlign w:val="center"/>
          </w:tcPr>
          <w:p>
            <w:pPr>
              <w:spacing w:line="240" w:lineRule="exact"/>
              <w:jc w:val="center"/>
              <w:rPr>
                <w:rFonts w:hint="default" w:ascii="Times New Roman" w:hAnsi="Times New Roman" w:cs="Times New Roman"/>
              </w:rPr>
            </w:pPr>
          </w:p>
        </w:tc>
        <w:tc>
          <w:tcPr>
            <w:tcW w:w="1113"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西面</w:t>
            </w:r>
          </w:p>
        </w:tc>
        <w:tc>
          <w:tcPr>
            <w:tcW w:w="2364"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105烘干车间</w:t>
            </w:r>
            <w:r>
              <w:rPr>
                <w:rFonts w:hint="default" w:ascii="Times New Roman" w:hAnsi="Times New Roman" w:cs="Times New Roman"/>
                <w:kern w:val="0"/>
                <w:sz w:val="21"/>
                <w:szCs w:val="21"/>
              </w:rPr>
              <w:t>（丁类）</w:t>
            </w:r>
          </w:p>
        </w:tc>
        <w:tc>
          <w:tcPr>
            <w:tcW w:w="1117" w:type="dxa"/>
            <w:noWrap w:val="0"/>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贴邻</w:t>
            </w:r>
          </w:p>
        </w:tc>
        <w:tc>
          <w:tcPr>
            <w:tcW w:w="1485"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rPr>
              <w:t>/</w:t>
            </w:r>
          </w:p>
        </w:tc>
        <w:tc>
          <w:tcPr>
            <w:tcW w:w="1818" w:type="dxa"/>
            <w:noWrap w:val="0"/>
            <w:vAlign w:val="center"/>
          </w:tcPr>
          <w:p>
            <w:pPr>
              <w:spacing w:line="240" w:lineRule="exact"/>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restart"/>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309包装材料仓库（丙类）</w:t>
            </w: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东北面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101生产车间一（丁类）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22</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rPr>
              <w:t>《建筑设计防火规范》（2018版）3.4.1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91" w:type="dxa"/>
            <w:vMerge w:val="continue"/>
            <w:noWrap w:val="0"/>
            <w:vAlign w:val="center"/>
          </w:tcPr>
          <w:p>
            <w:pPr>
              <w:spacing w:line="240" w:lineRule="exact"/>
              <w:jc w:val="center"/>
              <w:rPr>
                <w:rFonts w:hint="default" w:ascii="Times New Roman" w:hAnsi="Times New Roman" w:cs="Times New Roman"/>
                <w:kern w:val="0"/>
                <w:sz w:val="21"/>
                <w:szCs w:val="21"/>
              </w:rPr>
            </w:pPr>
          </w:p>
        </w:tc>
        <w:tc>
          <w:tcPr>
            <w:tcW w:w="1113" w:type="dxa"/>
            <w:noWrap w:val="0"/>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东南面</w:t>
            </w:r>
          </w:p>
        </w:tc>
        <w:tc>
          <w:tcPr>
            <w:tcW w:w="2364"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102生产车间二（丁类）</w:t>
            </w:r>
          </w:p>
        </w:tc>
        <w:tc>
          <w:tcPr>
            <w:tcW w:w="1117"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23</w:t>
            </w:r>
          </w:p>
        </w:tc>
        <w:tc>
          <w:tcPr>
            <w:tcW w:w="1485"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10</w:t>
            </w:r>
          </w:p>
        </w:tc>
        <w:tc>
          <w:tcPr>
            <w:tcW w:w="1818" w:type="dxa"/>
            <w:noWrap w:val="0"/>
            <w:vAlign w:val="center"/>
          </w:tcPr>
          <w:p>
            <w:pPr>
              <w:spacing w:line="240" w:lineRule="exact"/>
              <w:jc w:val="center"/>
              <w:rPr>
                <w:rFonts w:hint="default" w:ascii="Times New Roman" w:hAnsi="Times New Roman" w:cs="Times New Roman"/>
                <w:kern w:val="0"/>
                <w:sz w:val="21"/>
                <w:szCs w:val="21"/>
              </w:rPr>
            </w:pPr>
            <w:r>
              <w:rPr>
                <w:rFonts w:hint="default" w:ascii="Times New Roman" w:hAnsi="Times New Roman" w:cs="Times New Roman"/>
                <w:bCs/>
                <w:sz w:val="21"/>
                <w:szCs w:val="21"/>
              </w:rPr>
              <w:t>《建筑设计防火规范》（2018版）3.4.1</w:t>
            </w:r>
          </w:p>
        </w:tc>
      </w:tr>
    </w:tbl>
    <w:p>
      <w:pPr>
        <w:ind w:firstLine="560" w:firstLineChars="200"/>
        <w:rPr>
          <w:rFonts w:hint="default" w:ascii="Times New Roman" w:hAnsi="Times New Roman" w:cs="Times New Roman"/>
        </w:rPr>
      </w:pPr>
    </w:p>
    <w:p>
      <w:pPr>
        <w:ind w:firstLine="560" w:firstLineChars="200"/>
        <w:rPr>
          <w:rFonts w:hint="default" w:ascii="Times New Roman" w:hAnsi="Times New Roman" w:cs="Times New Roman"/>
        </w:rPr>
      </w:pPr>
      <w:r>
        <w:rPr>
          <w:rFonts w:hint="default" w:ascii="Times New Roman" w:hAnsi="Times New Roman" w:cs="Times New Roman"/>
        </w:rPr>
        <w:t>厂区内各建构筑物的防火分区，各建构筑物之间的间距均满足《建筑设计防火规范》GB50016-2014（2018版）的相关规定，且建构筑物与厂区围墙及厂外道路的防火间距也能满足规范要求。</w:t>
      </w:r>
    </w:p>
    <w:p>
      <w:pPr>
        <w:ind w:firstLine="560" w:firstLineChars="200"/>
        <w:rPr>
          <w:rFonts w:hint="default" w:ascii="Times New Roman" w:hAnsi="Times New Roman" w:cs="Times New Roman"/>
        </w:rPr>
      </w:pPr>
      <w:r>
        <w:rPr>
          <w:rFonts w:hint="default" w:ascii="Times New Roman" w:hAnsi="Times New Roman" w:cs="Times New Roman"/>
        </w:rPr>
        <w:t>1.安全检查表法分析评价</w:t>
      </w:r>
      <w:bookmarkEnd w:id="134"/>
    </w:p>
    <w:p>
      <w:pPr>
        <w:ind w:firstLine="560" w:firstLineChars="200"/>
        <w:rPr>
          <w:rFonts w:hint="default" w:ascii="Times New Roman" w:hAnsi="Times New Roman" w:cs="Times New Roman"/>
        </w:rPr>
      </w:pPr>
      <w:r>
        <w:rPr>
          <w:rFonts w:hint="default" w:ascii="Times New Roman" w:hAnsi="Times New Roman" w:cs="Times New Roman"/>
        </w:rPr>
        <w:t>依据《工业企业总平面设计规范》、《化工企业总图运输设计规范》、《建筑设计防火规范》、《化工企业安全卫生设计规范》、《固定式钢梯及平台安全要求第3部分:工业防护栏杆及钢平台》及《建筑抗震设计规范》等法规、规范，使用安全检查表对该公司的总体布局及建构筑物单元进行了检查，检查情况见</w:t>
      </w:r>
      <w:r>
        <w:rPr>
          <w:rFonts w:hint="default" w:ascii="Times New Roman" w:hAnsi="Times New Roman" w:cs="Times New Roman"/>
          <w:lang w:val="en-US" w:eastAsia="zh-CN"/>
        </w:rPr>
        <w:t>下表</w:t>
      </w:r>
      <w:r>
        <w:rPr>
          <w:rFonts w:hint="default" w:ascii="Times New Roman" w:hAnsi="Times New Roman" w:cs="Times New Roman"/>
        </w:rPr>
        <w:t>。</w:t>
      </w:r>
    </w:p>
    <w:p>
      <w:pPr>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br w:type="page"/>
      </w:r>
    </w:p>
    <w:p>
      <w:pPr>
        <w:pStyle w:val="55"/>
        <w:spacing w:line="240" w:lineRule="auto"/>
        <w:rPr>
          <w:rFonts w:hint="default" w:ascii="Times New Roman" w:hAnsi="Times New Roman" w:cs="Times New Roman"/>
          <w:b w:val="0"/>
          <w:bCs w:val="0"/>
          <w:sz w:val="28"/>
          <w:szCs w:val="28"/>
        </w:rPr>
      </w:pPr>
      <w:r>
        <w:rPr>
          <w:rFonts w:hint="default" w:ascii="Times New Roman" w:hAnsi="Times New Roman" w:cs="Times New Roman"/>
          <w:b w:val="0"/>
          <w:bCs w:val="0"/>
          <w:sz w:val="28"/>
          <w:szCs w:val="28"/>
        </w:rPr>
        <w:t>附表C.2-3 总平面布置及建构筑单元安全检查表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061"/>
        <w:gridCol w:w="1581"/>
        <w:gridCol w:w="2457"/>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187"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 查 内 容</w:t>
            </w:r>
          </w:p>
        </w:tc>
        <w:tc>
          <w:tcPr>
            <w:tcW w:w="851" w:type="pct"/>
            <w:noWrap w:val="0"/>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检查依据</w:t>
            </w:r>
          </w:p>
        </w:tc>
        <w:tc>
          <w:tcPr>
            <w:tcW w:w="1323" w:type="pct"/>
            <w:noWrap w:val="0"/>
            <w:vAlign w:val="center"/>
          </w:tcPr>
          <w:p>
            <w:pPr>
              <w:widowControl/>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实际情况</w:t>
            </w:r>
          </w:p>
        </w:tc>
        <w:tc>
          <w:tcPr>
            <w:tcW w:w="407" w:type="pct"/>
            <w:noWrap w:val="0"/>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检查结论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numPr>
                <w:ilvl w:val="0"/>
                <w:numId w:val="26"/>
                <w:numberingChange w:id="4" w:author="FtpDown" w:date="2020-04-20T17:01:00Z" w:original="%1:1:0:."/>
              </w:numPr>
              <w:spacing w:line="240" w:lineRule="auto"/>
              <w:jc w:val="center"/>
              <w:rPr>
                <w:rFonts w:hint="default" w:ascii="Times New Roman" w:hAnsi="Times New Roman" w:cs="Times New Roman"/>
                <w:sz w:val="21"/>
                <w:szCs w:val="21"/>
              </w:rPr>
            </w:pPr>
          </w:p>
        </w:tc>
        <w:tc>
          <w:tcPr>
            <w:tcW w:w="2187"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总平面布置应节约集约用地，提高土地利用率。布置时并应符合下列要求：</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 xml:space="preserve">1 在符合生产流程、操作要求和使用功能的前提下，建筑物、构筑物等设施，应采用联合、集中、多层布置； </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 xml:space="preserve">2 应按企业规模和功能分区，合理地确定通道宽度； </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 xml:space="preserve">3 厂区功能分区及建筑物、构筑物的外形宜规整； </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4功能分区内各项设施的布置，应紧凑、合理。</w:t>
            </w:r>
          </w:p>
        </w:tc>
        <w:tc>
          <w:tcPr>
            <w:tcW w:w="851"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GB50187-2012第5.1.2条</w:t>
            </w:r>
          </w:p>
        </w:tc>
        <w:tc>
          <w:tcPr>
            <w:tcW w:w="1323"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采用联合、集中、多层布置；按功能分区，合理地确定通道宽度。</w:t>
            </w:r>
          </w:p>
        </w:tc>
        <w:tc>
          <w:tcPr>
            <w:tcW w:w="407" w:type="pct"/>
            <w:noWrap w:val="0"/>
            <w:vAlign w:val="center"/>
          </w:tcPr>
          <w:p>
            <w:pPr>
              <w:widowControl/>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numPr>
                <w:ilvl w:val="0"/>
                <w:numId w:val="26"/>
                <w:numberingChange w:id="5" w:author="FtpDown" w:date="2020-04-20T17:01:00Z" w:original="%1:2:0:."/>
              </w:numPr>
              <w:spacing w:line="240" w:lineRule="auto"/>
              <w:jc w:val="center"/>
              <w:rPr>
                <w:rFonts w:hint="default" w:ascii="Times New Roman" w:hAnsi="Times New Roman" w:cs="Times New Roman"/>
                <w:sz w:val="21"/>
                <w:szCs w:val="21"/>
              </w:rPr>
            </w:pPr>
          </w:p>
        </w:tc>
        <w:tc>
          <w:tcPr>
            <w:tcW w:w="2187"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 xml:space="preserve">厂区的通道宽度，应符合下列要求： </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 xml:space="preserve">1应符合通道两侧建筑物、构筑物及露天设施对防火、安全与卫生间距的要求； </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 xml:space="preserve">2应符合铁路、道路与带式输送机通廊等工业运输线路的布置要求； </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 xml:space="preserve">3应符合各种工程管线的布置要求； </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 xml:space="preserve">4应符合绿化布置的要求； </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 xml:space="preserve">5应符合施工、安装与检修的要求 ； </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 xml:space="preserve">6应符合竖向设计的要求 ； </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7应符合预留发展用地的要求 。</w:t>
            </w:r>
          </w:p>
        </w:tc>
        <w:tc>
          <w:tcPr>
            <w:tcW w:w="851"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GB50187-2012第5.1.4条</w:t>
            </w:r>
          </w:p>
        </w:tc>
        <w:tc>
          <w:tcPr>
            <w:tcW w:w="1323"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符合通道两侧建筑物、构筑物及露天设施对防火、安全与卫生间距的要求。</w:t>
            </w:r>
          </w:p>
        </w:tc>
        <w:tc>
          <w:tcPr>
            <w:tcW w:w="407"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numPr>
                <w:ilvl w:val="0"/>
                <w:numId w:val="26"/>
                <w:numberingChange w:id="6" w:author="FtpDown" w:date="2020-04-20T17:01:00Z" w:original="%1:3:0:."/>
              </w:numPr>
              <w:spacing w:line="240" w:lineRule="auto"/>
              <w:jc w:val="center"/>
              <w:rPr>
                <w:rFonts w:hint="default" w:ascii="Times New Roman" w:hAnsi="Times New Roman" w:cs="Times New Roman"/>
                <w:sz w:val="21"/>
                <w:szCs w:val="21"/>
              </w:rPr>
            </w:pPr>
          </w:p>
        </w:tc>
        <w:tc>
          <w:tcPr>
            <w:tcW w:w="2187"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 xml:space="preserve">总平面布置，应合理地组织货流和人流，并应符合下列要求： </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 xml:space="preserve">1运输线路的布置，应保证物流顺畅、径路短捷、不折返； </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 xml:space="preserve">2应避免运输繁忙的铁路与道路平面交叉； </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 xml:space="preserve">3应使人、货分流，应避免运输繁忙的货流与人流交叉； </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4应避免进出厂的主要货流与企业外部交通干线的平面交叉。</w:t>
            </w:r>
          </w:p>
        </w:tc>
        <w:tc>
          <w:tcPr>
            <w:tcW w:w="851"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GB50187-2012第5.1.8条</w:t>
            </w:r>
          </w:p>
        </w:tc>
        <w:tc>
          <w:tcPr>
            <w:tcW w:w="1323"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物流顺畅、径路短捷、不折返；人、货分流。</w:t>
            </w:r>
          </w:p>
        </w:tc>
        <w:tc>
          <w:tcPr>
            <w:tcW w:w="407"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numPr>
                <w:ilvl w:val="0"/>
                <w:numId w:val="26"/>
                <w:numberingChange w:id="7" w:author="FtpDown" w:date="2020-04-20T17:01:00Z" w:original="%1:4:0:."/>
              </w:numPr>
              <w:spacing w:line="240" w:lineRule="auto"/>
              <w:jc w:val="center"/>
              <w:rPr>
                <w:rFonts w:hint="default" w:ascii="Times New Roman" w:hAnsi="Times New Roman" w:cs="Times New Roman"/>
                <w:sz w:val="21"/>
                <w:szCs w:val="21"/>
              </w:rPr>
            </w:pPr>
          </w:p>
        </w:tc>
        <w:tc>
          <w:tcPr>
            <w:tcW w:w="2187"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在城镇规划区内的化工区总体布置，应符合城镇总体规划。在非城镇规划区内的化工区总体布置，应以保护当地环境、防止污染、保护历史文化遗产及合理有效利用土地资源等原则进行编制，并应与当地的地区规划相协调。</w:t>
            </w:r>
          </w:p>
        </w:tc>
        <w:tc>
          <w:tcPr>
            <w:tcW w:w="851"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GB50489-2009第4.1.2条</w:t>
            </w:r>
          </w:p>
        </w:tc>
        <w:tc>
          <w:tcPr>
            <w:tcW w:w="1323"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布置在化工集中区。</w:t>
            </w:r>
          </w:p>
        </w:tc>
        <w:tc>
          <w:tcPr>
            <w:tcW w:w="407"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numPr>
                <w:ilvl w:val="0"/>
                <w:numId w:val="26"/>
                <w:numberingChange w:id="8" w:author="FtpDown" w:date="2020-04-20T17:01:00Z" w:original="%1:5:0:."/>
              </w:numPr>
              <w:spacing w:line="240" w:lineRule="auto"/>
              <w:jc w:val="center"/>
              <w:rPr>
                <w:rFonts w:hint="default" w:ascii="Times New Roman" w:hAnsi="Times New Roman" w:cs="Times New Roman"/>
                <w:sz w:val="21"/>
                <w:szCs w:val="21"/>
              </w:rPr>
            </w:pPr>
          </w:p>
        </w:tc>
        <w:tc>
          <w:tcPr>
            <w:tcW w:w="2187"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在工业区内的化工区总体布置，应符合工业区的总体规划，并宜利用工业区内的基础设施。</w:t>
            </w:r>
          </w:p>
        </w:tc>
        <w:tc>
          <w:tcPr>
            <w:tcW w:w="851"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GB50489-2009第4.1.3条</w:t>
            </w:r>
          </w:p>
        </w:tc>
        <w:tc>
          <w:tcPr>
            <w:tcW w:w="1323"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符合工业区的总体规划。</w:t>
            </w:r>
          </w:p>
        </w:tc>
        <w:tc>
          <w:tcPr>
            <w:tcW w:w="407"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numPr>
                <w:ilvl w:val="0"/>
                <w:numId w:val="26"/>
                <w:numberingChange w:id="9" w:author="FtpDown" w:date="2020-04-20T17:01:00Z" w:original="%1:6:0:."/>
              </w:numPr>
              <w:spacing w:line="240" w:lineRule="auto"/>
              <w:jc w:val="center"/>
              <w:rPr>
                <w:rFonts w:hint="default" w:ascii="Times New Roman" w:hAnsi="Times New Roman" w:cs="Times New Roman"/>
                <w:sz w:val="21"/>
                <w:szCs w:val="21"/>
              </w:rPr>
            </w:pPr>
          </w:p>
        </w:tc>
        <w:tc>
          <w:tcPr>
            <w:tcW w:w="2187"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凡受洪水、潮水和内涝威胁的化工区，在布置中应充分利用已有的防洪、防潮及排涝设施。新建的防洪工程设施应一次建成。防洪工程的规划设计应符合国家现行标准《防洪标准》GB 50201 和《城市防洪工程设计规范》CJJ 50的有关规定。</w:t>
            </w:r>
          </w:p>
        </w:tc>
        <w:tc>
          <w:tcPr>
            <w:tcW w:w="851"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GB50489-2009第4.1.10条</w:t>
            </w:r>
          </w:p>
        </w:tc>
        <w:tc>
          <w:tcPr>
            <w:tcW w:w="1323"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充分利用已有的防洪、防潮及排涝设施。</w:t>
            </w:r>
          </w:p>
        </w:tc>
        <w:tc>
          <w:tcPr>
            <w:tcW w:w="407"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numPr>
                <w:ilvl w:val="0"/>
                <w:numId w:val="26"/>
                <w:numberingChange w:id="10" w:author="FtpDown" w:date="2020-04-20T17:01:00Z" w:original="%1:7:0:."/>
              </w:numPr>
              <w:spacing w:line="240" w:lineRule="auto"/>
              <w:jc w:val="center"/>
              <w:rPr>
                <w:rFonts w:hint="default" w:ascii="Times New Roman" w:hAnsi="Times New Roman" w:cs="Times New Roman"/>
                <w:sz w:val="21"/>
                <w:szCs w:val="21"/>
              </w:rPr>
            </w:pPr>
          </w:p>
        </w:tc>
        <w:tc>
          <w:tcPr>
            <w:tcW w:w="2187"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厂区总平面应按功能分区布置，可分为生产装置区、辅助生产区、公用工程设施区、仓储区和行政办公及生活服务区。辅助生产和公用工程设施也可布置在生产装置区内。功能分区布置应符合下列要求：</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 各功能区内部应布置紧凑、合理并与相邻功能区相协调。</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 各功能区之间物流输送、动力供应便捷合理。</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3 生产装置区宜布置在全年最小频率风向的上风侧，行政办公及生活服务设施区宜布置在全年最小频率风向的下风侧，辅助生产和公用工程设施区宜布置在生产装置区与行政办公及生活服务设施区之间。</w:t>
            </w:r>
          </w:p>
        </w:tc>
        <w:tc>
          <w:tcPr>
            <w:tcW w:w="851"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GB50489-2009第5.1.4条</w:t>
            </w:r>
          </w:p>
        </w:tc>
        <w:tc>
          <w:tcPr>
            <w:tcW w:w="1323"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按功能分区布置，可分为生产装置区、辅助生产区、公用工程设施区、仓储区和行政办公区。</w:t>
            </w:r>
          </w:p>
        </w:tc>
        <w:tc>
          <w:tcPr>
            <w:tcW w:w="407"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numPr>
                <w:ilvl w:val="0"/>
                <w:numId w:val="26"/>
                <w:numberingChange w:id="11" w:author="FtpDown" w:date="2020-04-20T17:01:00Z" w:original="%1:8:0:."/>
              </w:numPr>
              <w:spacing w:line="240" w:lineRule="auto"/>
              <w:jc w:val="center"/>
              <w:rPr>
                <w:rFonts w:hint="default" w:ascii="Times New Roman" w:hAnsi="Times New Roman" w:cs="Times New Roman"/>
                <w:sz w:val="21"/>
                <w:szCs w:val="21"/>
              </w:rPr>
            </w:pPr>
          </w:p>
        </w:tc>
        <w:tc>
          <w:tcPr>
            <w:tcW w:w="2187"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可能散发可燃气体的设施，宜布置在明火或散发火花地点的全年最小频率风向的上风侧，在山区或丘陵地区时，应避免布置在窝风地段。</w:t>
            </w:r>
          </w:p>
        </w:tc>
        <w:tc>
          <w:tcPr>
            <w:tcW w:w="851"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GB50489-2009第5.2.2条</w:t>
            </w:r>
          </w:p>
        </w:tc>
        <w:tc>
          <w:tcPr>
            <w:tcW w:w="1323"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kern w:val="0"/>
                <w:sz w:val="21"/>
                <w:szCs w:val="21"/>
              </w:rPr>
              <w:t>不涉及可燃气体，项目设施未布置在窝风地段。</w:t>
            </w:r>
          </w:p>
        </w:tc>
        <w:tc>
          <w:tcPr>
            <w:tcW w:w="407" w:type="pct"/>
            <w:noWrap w:val="0"/>
            <w:vAlign w:val="center"/>
          </w:tcPr>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numPr>
                <w:ilvl w:val="0"/>
                <w:numId w:val="26"/>
                <w:numberingChange w:id="12" w:author="FtpDown" w:date="2020-04-20T17:01:00Z" w:original="%1:9:0:."/>
              </w:numPr>
              <w:spacing w:line="240" w:lineRule="auto"/>
              <w:jc w:val="center"/>
              <w:rPr>
                <w:rFonts w:hint="default" w:ascii="Times New Roman" w:hAnsi="Times New Roman" w:cs="Times New Roman"/>
                <w:sz w:val="21"/>
                <w:szCs w:val="21"/>
              </w:rPr>
            </w:pPr>
          </w:p>
        </w:tc>
        <w:tc>
          <w:tcPr>
            <w:tcW w:w="2187"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剧毒物品的生产设施，应布置在远离人员集中活动场所的单独地段内，并应布置在人员集中活动场所全年最小频率风向的上风侧，同时应设置围墙与其他设施隔开。</w:t>
            </w:r>
          </w:p>
        </w:tc>
        <w:tc>
          <w:tcPr>
            <w:tcW w:w="851"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GB50489-2009第</w:t>
            </w:r>
            <w:r>
              <w:rPr>
                <w:rFonts w:hint="default" w:ascii="Times New Roman" w:hAnsi="Times New Roman" w:cs="Times New Roman"/>
                <w:kern w:val="0"/>
                <w:sz w:val="21"/>
                <w:szCs w:val="21"/>
              </w:rPr>
              <w:t>5.2.4</w:t>
            </w:r>
            <w:r>
              <w:rPr>
                <w:rFonts w:hint="default" w:ascii="Times New Roman" w:hAnsi="Times New Roman" w:cs="Times New Roman"/>
                <w:sz w:val="21"/>
                <w:szCs w:val="21"/>
              </w:rPr>
              <w:t>条</w:t>
            </w:r>
          </w:p>
        </w:tc>
        <w:tc>
          <w:tcPr>
            <w:tcW w:w="1323"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kern w:val="0"/>
                <w:sz w:val="21"/>
                <w:szCs w:val="21"/>
              </w:rPr>
              <w:t>远离人员集中活动场所的单独地段内。</w:t>
            </w:r>
          </w:p>
        </w:tc>
        <w:tc>
          <w:tcPr>
            <w:tcW w:w="407" w:type="pct"/>
            <w:noWrap w:val="0"/>
            <w:vAlign w:val="center"/>
          </w:tcPr>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numPr>
                <w:ilvl w:val="0"/>
                <w:numId w:val="26"/>
                <w:numberingChange w:id="13" w:author="FtpDown" w:date="2020-04-20T17:01:00Z" w:original="%1:10:0:."/>
              </w:numPr>
              <w:spacing w:line="240" w:lineRule="auto"/>
              <w:jc w:val="center"/>
              <w:rPr>
                <w:rFonts w:hint="default" w:ascii="Times New Roman" w:hAnsi="Times New Roman" w:cs="Times New Roman"/>
                <w:sz w:val="21"/>
                <w:szCs w:val="21"/>
              </w:rPr>
            </w:pPr>
          </w:p>
        </w:tc>
        <w:tc>
          <w:tcPr>
            <w:tcW w:w="2187"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化工企业厂区总平面应满足现行国家标准《化工企业总图运输设计规范》GB 50489的要求，应根据厂内各生产系统及安全、卫生要求按功能明确合理分区布置，分区内部和相互之间应保持一定的通道和间距。</w:t>
            </w:r>
          </w:p>
        </w:tc>
        <w:tc>
          <w:tcPr>
            <w:tcW w:w="851"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HG20571-2014第3.2.1条</w:t>
            </w:r>
          </w:p>
        </w:tc>
        <w:tc>
          <w:tcPr>
            <w:tcW w:w="1323"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满足现行国家标准《化工企业总图运输设计规范》GB 50489的要求。</w:t>
            </w:r>
          </w:p>
        </w:tc>
        <w:tc>
          <w:tcPr>
            <w:tcW w:w="407"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numPr>
                <w:ilvl w:val="0"/>
                <w:numId w:val="26"/>
                <w:numberingChange w:id="14" w:author="FtpDown" w:date="2020-04-20T17:01:00Z" w:original="%1:11:0:."/>
              </w:numPr>
              <w:spacing w:line="240" w:lineRule="auto"/>
              <w:jc w:val="center"/>
              <w:rPr>
                <w:rFonts w:hint="default" w:ascii="Times New Roman" w:hAnsi="Times New Roman" w:cs="Times New Roman"/>
                <w:sz w:val="21"/>
                <w:szCs w:val="21"/>
              </w:rPr>
            </w:pPr>
          </w:p>
        </w:tc>
        <w:tc>
          <w:tcPr>
            <w:tcW w:w="2187"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厂区内甲、乙类生产装置或设施散发烟尘、水雾和噪声的生产部分应布置在人员集中场所及明火或散发火花地点的全年最小频率风向的上风侧，厂前区、机电仪修和总变配电所等部分应位于全年最小频率风向的下风侧。</w:t>
            </w:r>
          </w:p>
        </w:tc>
        <w:tc>
          <w:tcPr>
            <w:tcW w:w="851"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HG20571-2014第3.2.2条</w:t>
            </w:r>
          </w:p>
        </w:tc>
        <w:tc>
          <w:tcPr>
            <w:tcW w:w="1323"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按要求布置在人员集中场所及明火或散发火花地点的全年最小频率风向的上风侧。</w:t>
            </w:r>
          </w:p>
        </w:tc>
        <w:tc>
          <w:tcPr>
            <w:tcW w:w="407"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numPr>
                <w:ilvl w:val="0"/>
                <w:numId w:val="26"/>
                <w:numberingChange w:id="15" w:author="FtpDown" w:date="2020-04-20T17:01:00Z" w:original="%1:12:0:."/>
              </w:numPr>
              <w:spacing w:line="240" w:lineRule="auto"/>
              <w:jc w:val="center"/>
              <w:rPr>
                <w:rFonts w:hint="default" w:ascii="Times New Roman" w:hAnsi="Times New Roman" w:cs="Times New Roman"/>
                <w:sz w:val="21"/>
                <w:szCs w:val="21"/>
              </w:rPr>
            </w:pPr>
          </w:p>
        </w:tc>
        <w:tc>
          <w:tcPr>
            <w:tcW w:w="2187"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污水处理场、大型物料堆场、仓库区宜分别集中布置在厂区边缘地带。</w:t>
            </w:r>
          </w:p>
        </w:tc>
        <w:tc>
          <w:tcPr>
            <w:tcW w:w="851"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HG20571-2014第3.2.3条</w:t>
            </w:r>
          </w:p>
        </w:tc>
        <w:tc>
          <w:tcPr>
            <w:tcW w:w="1323"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按要求布置在厂区边缘地带。</w:t>
            </w:r>
          </w:p>
        </w:tc>
        <w:tc>
          <w:tcPr>
            <w:tcW w:w="407"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numPr>
                <w:ilvl w:val="0"/>
                <w:numId w:val="26"/>
                <w:numberingChange w:id="16" w:author="FtpDown" w:date="2020-04-20T17:01:00Z" w:original="%1:13:0:."/>
              </w:numPr>
              <w:spacing w:line="240" w:lineRule="auto"/>
              <w:jc w:val="center"/>
              <w:rPr>
                <w:rFonts w:hint="default" w:ascii="Times New Roman" w:hAnsi="Times New Roman" w:cs="Times New Roman"/>
                <w:sz w:val="21"/>
                <w:szCs w:val="21"/>
              </w:rPr>
            </w:pPr>
          </w:p>
        </w:tc>
        <w:tc>
          <w:tcPr>
            <w:tcW w:w="2187"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化工企业主要出人口不应少于两个，并宜位于不同方位。大型化工厂的人流和货运应明确分开，大宗危险货物运输应有单独路线，不得与人流混行或平交。</w:t>
            </w:r>
          </w:p>
        </w:tc>
        <w:tc>
          <w:tcPr>
            <w:tcW w:w="851"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HG20571-2014第3.2.4条</w:t>
            </w:r>
          </w:p>
        </w:tc>
        <w:tc>
          <w:tcPr>
            <w:tcW w:w="1323"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该公司北侧设有1个主要出入口，南侧设有一个出入口。</w:t>
            </w:r>
          </w:p>
        </w:tc>
        <w:tc>
          <w:tcPr>
            <w:tcW w:w="407"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numPr>
                <w:ilvl w:val="0"/>
                <w:numId w:val="26"/>
                <w:numberingChange w:id="17" w:author="FtpDown" w:date="2020-04-20T17:01:00Z" w:original="%1:14:0:."/>
              </w:numPr>
              <w:spacing w:line="240" w:lineRule="auto"/>
              <w:jc w:val="center"/>
              <w:rPr>
                <w:rFonts w:hint="default" w:ascii="Times New Roman" w:hAnsi="Times New Roman" w:cs="Times New Roman"/>
                <w:sz w:val="21"/>
                <w:szCs w:val="21"/>
              </w:rPr>
            </w:pPr>
          </w:p>
        </w:tc>
        <w:tc>
          <w:tcPr>
            <w:tcW w:w="2187"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厂区道路应根据交通、消防和分区要求合理布置，力求顺通。危险场所应设环行消防通进，路面宽度应按交通密度及安全因素确定，保证消防、急救车辆畅行无阻。并应符合下列规定和要求：</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1厂区道路应符合用于消防车通行的道路间距、宽度；其转弯半径应符合现行国家标准《建筑设计防火规范》GB 50016和《石油化工企业设计防火规范》GB 50160的相关规定。</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2道路两侧和上下接近的建、构筑物应满足有关净距和道路建筑限界要求。</w:t>
            </w:r>
          </w:p>
        </w:tc>
        <w:tc>
          <w:tcPr>
            <w:tcW w:w="851" w:type="pct"/>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HG20571-2014第3.2.6条</w:t>
            </w:r>
          </w:p>
        </w:tc>
        <w:tc>
          <w:tcPr>
            <w:tcW w:w="1323"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设环行消防通道，路面宽度按交通密度及安全因素确定，可保证消防、急救车辆畅行无阻。</w:t>
            </w:r>
          </w:p>
        </w:tc>
        <w:tc>
          <w:tcPr>
            <w:tcW w:w="407" w:type="pct"/>
            <w:noWrap w:val="0"/>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numPr>
                <w:ilvl w:val="0"/>
                <w:numId w:val="26"/>
                <w:numberingChange w:id="18" w:author="FtpDown" w:date="2020-04-20T17:01:00Z" w:original="%1:15:0:."/>
              </w:numPr>
              <w:spacing w:line="240" w:lineRule="auto"/>
              <w:jc w:val="center"/>
              <w:rPr>
                <w:rFonts w:hint="default" w:ascii="Times New Roman" w:hAnsi="Times New Roman" w:cs="Times New Roman"/>
                <w:sz w:val="21"/>
                <w:szCs w:val="21"/>
              </w:rPr>
            </w:pPr>
          </w:p>
        </w:tc>
        <w:tc>
          <w:tcPr>
            <w:tcW w:w="2187" w:type="pct"/>
            <w:noWrap w:val="0"/>
            <w:vAlign w:val="center"/>
          </w:tcPr>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机、电、仪修等操作人员较多的场所宜布置在厂前附近，避免大量人流经常穿行全厂或化工生产装置区。</w:t>
            </w:r>
          </w:p>
        </w:tc>
        <w:tc>
          <w:tcPr>
            <w:tcW w:w="851" w:type="pct"/>
            <w:noWrap w:val="0"/>
            <w:vAlign w:val="center"/>
          </w:tcPr>
          <w:p>
            <w:pPr>
              <w:keepNext w:val="0"/>
              <w:keepLines w:val="0"/>
              <w:pageBreakBefore w:val="0"/>
              <w:kinsoku/>
              <w:wordWrap/>
              <w:overflowPunct/>
              <w:topLinePunct w:val="0"/>
              <w:autoSpaceDE/>
              <w:autoSpaceDN/>
              <w:bidi w:val="0"/>
              <w:adjustRightInd/>
              <w:snapToGrid/>
              <w:spacing w:line="352"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HG20571-2014第3.2.7条</w:t>
            </w:r>
          </w:p>
        </w:tc>
        <w:tc>
          <w:tcPr>
            <w:tcW w:w="1323" w:type="pct"/>
            <w:noWrap w:val="0"/>
            <w:vAlign w:val="center"/>
          </w:tcPr>
          <w:p>
            <w:pPr>
              <w:keepNext w:val="0"/>
              <w:keepLines w:val="0"/>
              <w:pageBreakBefore w:val="0"/>
              <w:widowControl/>
              <w:kinsoku/>
              <w:wordWrap/>
              <w:overflowPunct/>
              <w:topLinePunct w:val="0"/>
              <w:autoSpaceDE/>
              <w:autoSpaceDN/>
              <w:bidi w:val="0"/>
              <w:adjustRightInd/>
              <w:snapToGrid/>
              <w:spacing w:line="352"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机修场所布置在厂前区附近。</w:t>
            </w:r>
          </w:p>
        </w:tc>
        <w:tc>
          <w:tcPr>
            <w:tcW w:w="407" w:type="pct"/>
            <w:noWrap w:val="0"/>
            <w:vAlign w:val="center"/>
          </w:tcPr>
          <w:p>
            <w:pPr>
              <w:keepNext w:val="0"/>
              <w:keepLines w:val="0"/>
              <w:pageBreakBefore w:val="0"/>
              <w:widowControl/>
              <w:kinsoku/>
              <w:wordWrap/>
              <w:overflowPunct/>
              <w:topLinePunct w:val="0"/>
              <w:autoSpaceDE/>
              <w:autoSpaceDN/>
              <w:bidi w:val="0"/>
              <w:adjustRightInd/>
              <w:snapToGrid/>
              <w:spacing w:line="352"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numPr>
                <w:ilvl w:val="0"/>
                <w:numId w:val="26"/>
                <w:numberingChange w:id="19" w:author="FtpDown" w:date="2020-04-20T17:01:00Z" w:original="%1:16:0:."/>
              </w:numPr>
              <w:spacing w:line="240" w:lineRule="auto"/>
              <w:jc w:val="center"/>
              <w:rPr>
                <w:rFonts w:hint="default" w:ascii="Times New Roman" w:hAnsi="Times New Roman" w:cs="Times New Roman"/>
                <w:sz w:val="21"/>
                <w:szCs w:val="21"/>
              </w:rPr>
            </w:pPr>
          </w:p>
        </w:tc>
        <w:tc>
          <w:tcPr>
            <w:tcW w:w="2187" w:type="pct"/>
            <w:noWrap w:val="0"/>
            <w:vAlign w:val="center"/>
          </w:tcPr>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高架仓库、高层仓库、甲类仓库、多层乙类仓库和储存可燃液体的多层丙类仓库，其耐火等级不应低于二级。</w:t>
            </w:r>
          </w:p>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单层乙类仓库，单、多层丙类仓库和多层丁、戊类仓库，其耐火等级不应低于三级。</w:t>
            </w:r>
          </w:p>
        </w:tc>
        <w:tc>
          <w:tcPr>
            <w:tcW w:w="851" w:type="pct"/>
            <w:noWrap w:val="0"/>
            <w:vAlign w:val="center"/>
          </w:tcPr>
          <w:p>
            <w:pPr>
              <w:keepNext w:val="0"/>
              <w:keepLines w:val="0"/>
              <w:pageBreakBefore w:val="0"/>
              <w:kinsoku/>
              <w:wordWrap/>
              <w:overflowPunct/>
              <w:topLinePunct w:val="0"/>
              <w:autoSpaceDE/>
              <w:autoSpaceDN/>
              <w:bidi w:val="0"/>
              <w:adjustRightInd/>
              <w:snapToGrid/>
              <w:spacing w:line="352" w:lineRule="exact"/>
              <w:jc w:val="center"/>
              <w:textAlignment w:val="auto"/>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《建筑设计防火规范》（2018版）GB50016-2014</w:t>
            </w:r>
            <w:r>
              <w:rPr>
                <w:rFonts w:hint="default" w:ascii="Times New Roman" w:hAnsi="Times New Roman" w:cs="Times New Roman"/>
                <w:sz w:val="21"/>
                <w:szCs w:val="21"/>
              </w:rPr>
              <w:t>第3.2.7条</w:t>
            </w:r>
          </w:p>
        </w:tc>
        <w:tc>
          <w:tcPr>
            <w:tcW w:w="1323" w:type="pct"/>
            <w:noWrap w:val="0"/>
            <w:vAlign w:val="center"/>
          </w:tcPr>
          <w:p>
            <w:pPr>
              <w:keepNext w:val="0"/>
              <w:keepLines w:val="0"/>
              <w:pageBreakBefore w:val="0"/>
              <w:widowControl/>
              <w:kinsoku/>
              <w:wordWrap/>
              <w:overflowPunct/>
              <w:topLinePunct w:val="0"/>
              <w:autoSpaceDE/>
              <w:autoSpaceDN/>
              <w:bidi w:val="0"/>
              <w:adjustRightInd/>
              <w:snapToGrid/>
              <w:spacing w:line="352"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生产车间和仓库均为丁类；钢架结构，建构筑物耐火等级不低于三级。</w:t>
            </w:r>
          </w:p>
        </w:tc>
        <w:tc>
          <w:tcPr>
            <w:tcW w:w="407" w:type="pct"/>
            <w:noWrap w:val="0"/>
            <w:vAlign w:val="center"/>
          </w:tcPr>
          <w:p>
            <w:pPr>
              <w:keepNext w:val="0"/>
              <w:keepLines w:val="0"/>
              <w:pageBreakBefore w:val="0"/>
              <w:widowControl/>
              <w:kinsoku/>
              <w:wordWrap/>
              <w:overflowPunct/>
              <w:topLinePunct w:val="0"/>
              <w:autoSpaceDE/>
              <w:autoSpaceDN/>
              <w:bidi w:val="0"/>
              <w:adjustRightInd/>
              <w:snapToGrid/>
              <w:spacing w:line="352"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229" w:type="pct"/>
            <w:noWrap w:val="0"/>
            <w:vAlign w:val="center"/>
          </w:tcPr>
          <w:p>
            <w:pPr>
              <w:widowControl/>
              <w:numPr>
                <w:ilvl w:val="0"/>
                <w:numId w:val="26"/>
                <w:numberingChange w:id="20" w:author="FtpDown" w:date="2020-04-20T17:01:00Z" w:original="%1:17:0:."/>
              </w:numPr>
              <w:spacing w:line="240" w:lineRule="auto"/>
              <w:jc w:val="center"/>
              <w:rPr>
                <w:rFonts w:hint="default" w:ascii="Times New Roman" w:hAnsi="Times New Roman" w:cs="Times New Roman"/>
                <w:sz w:val="21"/>
                <w:szCs w:val="21"/>
              </w:rPr>
            </w:pPr>
          </w:p>
        </w:tc>
        <w:tc>
          <w:tcPr>
            <w:tcW w:w="2187" w:type="pct"/>
            <w:noWrap w:val="0"/>
            <w:vAlign w:val="center"/>
          </w:tcPr>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厂房（仓库）的耐火等级、层数和每个防火分区的最大允许建筑面积除该规范另有规定者外，应应符合表3.3.1、3.3.2的规定。</w:t>
            </w:r>
          </w:p>
        </w:tc>
        <w:tc>
          <w:tcPr>
            <w:tcW w:w="851" w:type="pct"/>
            <w:noWrap w:val="0"/>
            <w:vAlign w:val="center"/>
          </w:tcPr>
          <w:p>
            <w:pPr>
              <w:keepNext w:val="0"/>
              <w:keepLines w:val="0"/>
              <w:pageBreakBefore w:val="0"/>
              <w:tabs>
                <w:tab w:val="left" w:pos="720"/>
              </w:tabs>
              <w:kinsoku/>
              <w:wordWrap/>
              <w:overflowPunct/>
              <w:topLinePunct w:val="0"/>
              <w:autoSpaceDE/>
              <w:autoSpaceDN/>
              <w:bidi w:val="0"/>
              <w:adjustRightInd/>
              <w:snapToGrid/>
              <w:spacing w:line="352" w:lineRule="exact"/>
              <w:jc w:val="center"/>
              <w:textAlignment w:val="auto"/>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《建筑设计防火规范》（2018版）GB50016-2014</w:t>
            </w:r>
            <w:r>
              <w:rPr>
                <w:rFonts w:hint="default" w:ascii="Times New Roman" w:hAnsi="Times New Roman" w:cs="Times New Roman"/>
                <w:sz w:val="21"/>
                <w:szCs w:val="21"/>
              </w:rPr>
              <w:t>第3.3.1、3.3.2条</w:t>
            </w:r>
          </w:p>
        </w:tc>
        <w:tc>
          <w:tcPr>
            <w:tcW w:w="1323" w:type="pct"/>
            <w:noWrap w:val="0"/>
            <w:vAlign w:val="center"/>
          </w:tcPr>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仓库的火灾分类为丁类，防火分区符合要求。</w:t>
            </w:r>
          </w:p>
        </w:tc>
        <w:tc>
          <w:tcPr>
            <w:tcW w:w="407" w:type="pct"/>
            <w:noWrap w:val="0"/>
            <w:vAlign w:val="center"/>
          </w:tcPr>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29" w:type="pct"/>
            <w:noWrap w:val="0"/>
            <w:vAlign w:val="center"/>
          </w:tcPr>
          <w:p>
            <w:pPr>
              <w:numPr>
                <w:ilvl w:val="0"/>
                <w:numId w:val="26"/>
                <w:numberingChange w:id="21" w:author="FtpDown" w:date="2020-04-20T17:01:00Z" w:original="%1:18:0:."/>
              </w:numPr>
              <w:spacing w:line="240" w:lineRule="auto"/>
              <w:jc w:val="left"/>
              <w:rPr>
                <w:rFonts w:hint="default" w:ascii="Times New Roman" w:hAnsi="Times New Roman" w:cs="Times New Roman"/>
                <w:sz w:val="21"/>
                <w:szCs w:val="21"/>
              </w:rPr>
            </w:pPr>
          </w:p>
        </w:tc>
        <w:tc>
          <w:tcPr>
            <w:tcW w:w="2187" w:type="pct"/>
            <w:noWrap w:val="0"/>
            <w:vAlign w:val="center"/>
          </w:tcPr>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甲、乙类生产场所（仓库）不应设置在地下或半地下。</w:t>
            </w:r>
          </w:p>
        </w:tc>
        <w:tc>
          <w:tcPr>
            <w:tcW w:w="851" w:type="pct"/>
            <w:noWrap w:val="0"/>
            <w:vAlign w:val="center"/>
          </w:tcPr>
          <w:p>
            <w:pPr>
              <w:keepNext w:val="0"/>
              <w:keepLines w:val="0"/>
              <w:pageBreakBefore w:val="0"/>
              <w:tabs>
                <w:tab w:val="left" w:pos="720"/>
              </w:tabs>
              <w:kinsoku/>
              <w:wordWrap/>
              <w:overflowPunct/>
              <w:topLinePunct w:val="0"/>
              <w:autoSpaceDE/>
              <w:autoSpaceDN/>
              <w:bidi w:val="0"/>
              <w:adjustRightInd/>
              <w:snapToGrid/>
              <w:spacing w:line="352" w:lineRule="exact"/>
              <w:jc w:val="center"/>
              <w:textAlignment w:val="auto"/>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《建筑设计防火规范》（2018版）GB50016-2014</w:t>
            </w:r>
            <w:r>
              <w:rPr>
                <w:rFonts w:hint="default" w:ascii="Times New Roman" w:hAnsi="Times New Roman" w:cs="Times New Roman"/>
                <w:sz w:val="21"/>
                <w:szCs w:val="21"/>
              </w:rPr>
              <w:t>第3.3.4条</w:t>
            </w:r>
          </w:p>
        </w:tc>
        <w:tc>
          <w:tcPr>
            <w:tcW w:w="1323" w:type="pct"/>
            <w:noWrap w:val="0"/>
            <w:vAlign w:val="center"/>
          </w:tcPr>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该</w:t>
            </w:r>
            <w:r>
              <w:rPr>
                <w:rFonts w:hint="eastAsia" w:cs="Times New Roman"/>
                <w:sz w:val="21"/>
                <w:szCs w:val="21"/>
                <w:lang w:val="en-US" w:eastAsia="zh-CN"/>
              </w:rPr>
              <w:t>企业</w:t>
            </w:r>
            <w:r>
              <w:rPr>
                <w:rFonts w:hint="default" w:ascii="Times New Roman" w:hAnsi="Times New Roman" w:cs="Times New Roman"/>
                <w:sz w:val="21"/>
                <w:szCs w:val="21"/>
              </w:rPr>
              <w:t>仓库、车间全部在地面以上；不涉及甲、乙类场所。</w:t>
            </w:r>
          </w:p>
        </w:tc>
        <w:tc>
          <w:tcPr>
            <w:tcW w:w="407" w:type="pct"/>
            <w:noWrap w:val="0"/>
            <w:vAlign w:val="center"/>
          </w:tcPr>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29" w:type="pct"/>
            <w:noWrap w:val="0"/>
            <w:vAlign w:val="center"/>
          </w:tcPr>
          <w:p>
            <w:pPr>
              <w:numPr>
                <w:ilvl w:val="0"/>
                <w:numId w:val="26"/>
                <w:numberingChange w:id="22" w:author="FtpDown" w:date="2020-04-20T17:01:00Z" w:original="%1:19:0:."/>
              </w:numPr>
              <w:spacing w:line="240" w:lineRule="auto"/>
              <w:jc w:val="left"/>
              <w:rPr>
                <w:rFonts w:hint="default" w:ascii="Times New Roman" w:hAnsi="Times New Roman" w:cs="Times New Roman"/>
                <w:sz w:val="21"/>
                <w:szCs w:val="21"/>
              </w:rPr>
            </w:pPr>
          </w:p>
        </w:tc>
        <w:tc>
          <w:tcPr>
            <w:tcW w:w="2187" w:type="pct"/>
            <w:noWrap w:val="0"/>
            <w:vAlign w:val="center"/>
          </w:tcPr>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厂房（仓库）内严禁设置员工宿舍。</w:t>
            </w:r>
          </w:p>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办公室、休息室等不应设置在甲、乙类厂房（仓库）内且不应与甲、乙类仓库贴邻建造。</w:t>
            </w:r>
          </w:p>
        </w:tc>
        <w:tc>
          <w:tcPr>
            <w:tcW w:w="851" w:type="pct"/>
            <w:noWrap w:val="0"/>
            <w:vAlign w:val="center"/>
          </w:tcPr>
          <w:p>
            <w:pPr>
              <w:keepNext w:val="0"/>
              <w:keepLines w:val="0"/>
              <w:pageBreakBefore w:val="0"/>
              <w:tabs>
                <w:tab w:val="left" w:pos="720"/>
              </w:tabs>
              <w:kinsoku/>
              <w:wordWrap/>
              <w:overflowPunct/>
              <w:topLinePunct w:val="0"/>
              <w:autoSpaceDE/>
              <w:autoSpaceDN/>
              <w:bidi w:val="0"/>
              <w:adjustRightInd/>
              <w:snapToGrid/>
              <w:spacing w:line="352" w:lineRule="exact"/>
              <w:jc w:val="center"/>
              <w:textAlignment w:val="auto"/>
              <w:rPr>
                <w:rFonts w:hint="default" w:ascii="Times New Roman" w:hAnsi="Times New Roman" w:cs="Times New Roman"/>
                <w:spacing w:val="-14"/>
                <w:sz w:val="21"/>
                <w:szCs w:val="21"/>
              </w:rPr>
            </w:pPr>
            <w:r>
              <w:rPr>
                <w:rFonts w:hint="default" w:ascii="Times New Roman" w:hAnsi="Times New Roman" w:cs="Times New Roman"/>
                <w:bCs/>
                <w:kern w:val="0"/>
                <w:sz w:val="21"/>
                <w:szCs w:val="21"/>
              </w:rPr>
              <w:t>《建筑设计防火规范》（2018版）GB50016-2014</w:t>
            </w:r>
            <w:r>
              <w:rPr>
                <w:rFonts w:hint="default" w:ascii="Times New Roman" w:hAnsi="Times New Roman" w:cs="Times New Roman"/>
                <w:spacing w:val="-14"/>
                <w:sz w:val="21"/>
                <w:szCs w:val="21"/>
              </w:rPr>
              <w:t>第3.3.5、3.3.9条</w:t>
            </w:r>
          </w:p>
        </w:tc>
        <w:tc>
          <w:tcPr>
            <w:tcW w:w="1323" w:type="pct"/>
            <w:noWrap w:val="0"/>
            <w:vAlign w:val="center"/>
          </w:tcPr>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生产区内无员工宿舍，办公室、休息室未设置在厂房内；不涉及甲、乙类场所。</w:t>
            </w:r>
          </w:p>
        </w:tc>
        <w:tc>
          <w:tcPr>
            <w:tcW w:w="407" w:type="pct"/>
            <w:noWrap w:val="0"/>
            <w:vAlign w:val="center"/>
          </w:tcPr>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29" w:type="pct"/>
            <w:noWrap w:val="0"/>
            <w:vAlign w:val="center"/>
          </w:tcPr>
          <w:p>
            <w:pPr>
              <w:numPr>
                <w:ilvl w:val="0"/>
                <w:numId w:val="26"/>
                <w:numberingChange w:id="23" w:author="FtpDown" w:date="2020-04-20T17:01:00Z" w:original="%1:20:0:."/>
              </w:numPr>
              <w:spacing w:line="240" w:lineRule="auto"/>
              <w:jc w:val="left"/>
              <w:rPr>
                <w:rFonts w:hint="default" w:ascii="Times New Roman" w:hAnsi="Times New Roman" w:cs="Times New Roman"/>
                <w:sz w:val="21"/>
                <w:szCs w:val="21"/>
              </w:rPr>
            </w:pPr>
          </w:p>
        </w:tc>
        <w:tc>
          <w:tcPr>
            <w:tcW w:w="2187" w:type="pct"/>
            <w:noWrap w:val="0"/>
            <w:vAlign w:val="center"/>
          </w:tcPr>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变、配电所不应设置在甲、乙类厂房内或贴邻建造，且不应设置在爆炸性气体、粉尘环境的危险区域内。供甲、乙类厂房专用的10kV 及以下的变、配电所，当采用无门窗洞口的防火墙隔开时，可一面贴邻建造，并应符合现行国家标准《爆炸和火灾危险环境电力装置设计规范》GB50058 等规范的有关规定。</w:t>
            </w:r>
          </w:p>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乙类厂房的配电所必须在防火墙上开窗时，应设置密封固定的甲级防火窗。</w:t>
            </w:r>
          </w:p>
        </w:tc>
        <w:tc>
          <w:tcPr>
            <w:tcW w:w="851" w:type="pct"/>
            <w:noWrap w:val="0"/>
            <w:vAlign w:val="center"/>
          </w:tcPr>
          <w:p>
            <w:pPr>
              <w:keepNext w:val="0"/>
              <w:keepLines w:val="0"/>
              <w:pageBreakBefore w:val="0"/>
              <w:tabs>
                <w:tab w:val="left" w:pos="720"/>
              </w:tabs>
              <w:kinsoku/>
              <w:wordWrap/>
              <w:overflowPunct/>
              <w:topLinePunct w:val="0"/>
              <w:autoSpaceDE/>
              <w:autoSpaceDN/>
              <w:bidi w:val="0"/>
              <w:adjustRightInd/>
              <w:snapToGrid/>
              <w:spacing w:line="352" w:lineRule="exact"/>
              <w:jc w:val="center"/>
              <w:textAlignment w:val="auto"/>
              <w:rPr>
                <w:rFonts w:hint="default" w:ascii="Times New Roman" w:hAnsi="Times New Roman" w:cs="Times New Roman"/>
                <w:sz w:val="21"/>
                <w:szCs w:val="21"/>
              </w:rPr>
            </w:pPr>
            <w:r>
              <w:rPr>
                <w:rFonts w:hint="default" w:ascii="Times New Roman" w:hAnsi="Times New Roman" w:cs="Times New Roman"/>
                <w:bCs/>
                <w:kern w:val="0"/>
                <w:sz w:val="21"/>
                <w:szCs w:val="21"/>
              </w:rPr>
              <w:t>《建筑设计防火规范》（2018版）GB50016-2014</w:t>
            </w:r>
            <w:r>
              <w:rPr>
                <w:rFonts w:hint="default" w:ascii="Times New Roman" w:hAnsi="Times New Roman" w:cs="Times New Roman"/>
                <w:sz w:val="21"/>
                <w:szCs w:val="21"/>
              </w:rPr>
              <w:t>第3.3.8条</w:t>
            </w:r>
          </w:p>
        </w:tc>
        <w:tc>
          <w:tcPr>
            <w:tcW w:w="1323" w:type="pct"/>
            <w:noWrap w:val="0"/>
            <w:vAlign w:val="center"/>
          </w:tcPr>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配电间距离车间＞10m。</w:t>
            </w:r>
            <w:r>
              <w:rPr>
                <w:rFonts w:hint="default" w:ascii="Times New Roman" w:hAnsi="Times New Roman" w:cs="Times New Roman"/>
                <w:sz w:val="21"/>
                <w:szCs w:val="21"/>
              </w:rPr>
              <w:t>车间专用的配电间贴邻建造，采用防火墙隔开，符合规范要求；不涉及甲、乙类场所。</w:t>
            </w:r>
          </w:p>
        </w:tc>
        <w:tc>
          <w:tcPr>
            <w:tcW w:w="407" w:type="pct"/>
            <w:noWrap w:val="0"/>
            <w:vAlign w:val="center"/>
          </w:tcPr>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kern w:val="0"/>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29" w:type="pct"/>
            <w:noWrap w:val="0"/>
            <w:vAlign w:val="center"/>
          </w:tcPr>
          <w:p>
            <w:pPr>
              <w:numPr>
                <w:ilvl w:val="0"/>
                <w:numId w:val="26"/>
                <w:numberingChange w:id="24" w:author="FtpDown" w:date="2020-04-20T17:01:00Z" w:original="%1:21:0:."/>
              </w:numPr>
              <w:spacing w:line="240" w:lineRule="auto"/>
              <w:jc w:val="left"/>
              <w:rPr>
                <w:rFonts w:hint="default" w:ascii="Times New Roman" w:hAnsi="Times New Roman" w:cs="Times New Roman"/>
                <w:sz w:val="21"/>
                <w:szCs w:val="21"/>
              </w:rPr>
            </w:pPr>
          </w:p>
        </w:tc>
        <w:tc>
          <w:tcPr>
            <w:tcW w:w="2187" w:type="pct"/>
            <w:noWrap w:val="0"/>
            <w:vAlign w:val="center"/>
          </w:tcPr>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除本规范另有规定外，厂房之间及与乙、丙、丁、戊类仓库、民用建筑等的防火间距不应小于表3.4.1的规定，与甲类仓库的防火间距应符合本规范第3.5.1条的规定。</w:t>
            </w:r>
          </w:p>
        </w:tc>
        <w:tc>
          <w:tcPr>
            <w:tcW w:w="851" w:type="pct"/>
            <w:noWrap w:val="0"/>
            <w:vAlign w:val="center"/>
          </w:tcPr>
          <w:p>
            <w:pPr>
              <w:keepNext w:val="0"/>
              <w:keepLines w:val="0"/>
              <w:pageBreakBefore w:val="0"/>
              <w:tabs>
                <w:tab w:val="left" w:pos="720"/>
              </w:tabs>
              <w:kinsoku/>
              <w:wordWrap/>
              <w:overflowPunct/>
              <w:topLinePunct w:val="0"/>
              <w:autoSpaceDE/>
              <w:autoSpaceDN/>
              <w:bidi w:val="0"/>
              <w:adjustRightInd/>
              <w:snapToGrid/>
              <w:spacing w:line="352" w:lineRule="exact"/>
              <w:jc w:val="center"/>
              <w:textAlignment w:val="auto"/>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《建筑设计防火规范》（2018版）GB50016-2014第3.4.1条</w:t>
            </w:r>
          </w:p>
        </w:tc>
        <w:tc>
          <w:tcPr>
            <w:tcW w:w="1323" w:type="pct"/>
            <w:noWrap w:val="0"/>
            <w:vAlign w:val="center"/>
          </w:tcPr>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各建筑物防火间距符合要求；具体见建构筑物间距检查表。</w:t>
            </w:r>
          </w:p>
        </w:tc>
        <w:tc>
          <w:tcPr>
            <w:tcW w:w="407" w:type="pct"/>
            <w:noWrap w:val="0"/>
            <w:vAlign w:val="center"/>
          </w:tcPr>
          <w:p>
            <w:pPr>
              <w:keepNext w:val="0"/>
              <w:keepLines w:val="0"/>
              <w:pageBreakBefore w:val="0"/>
              <w:kinsoku/>
              <w:wordWrap/>
              <w:overflowPunct/>
              <w:topLinePunct w:val="0"/>
              <w:autoSpaceDE/>
              <w:autoSpaceDN/>
              <w:bidi w:val="0"/>
              <w:adjustRightInd/>
              <w:snapToGrid/>
              <w:spacing w:line="352" w:lineRule="exact"/>
              <w:textAlignment w:val="auto"/>
              <w:rPr>
                <w:rFonts w:hint="default" w:ascii="Times New Roman" w:hAnsi="Times New Roman" w:cs="Times New Roman"/>
                <w:kern w:val="0"/>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29" w:type="pct"/>
            <w:noWrap w:val="0"/>
            <w:vAlign w:val="center"/>
          </w:tcPr>
          <w:p>
            <w:pPr>
              <w:numPr>
                <w:ilvl w:val="0"/>
                <w:numId w:val="26"/>
                <w:numberingChange w:id="25" w:author="FtpDown" w:date="2020-04-20T17:01:00Z" w:original="%1:22:0:."/>
              </w:numPr>
              <w:spacing w:line="240" w:lineRule="auto"/>
              <w:jc w:val="left"/>
              <w:rPr>
                <w:rFonts w:hint="default" w:ascii="Times New Roman" w:hAnsi="Times New Roman" w:cs="Times New Roman"/>
                <w:sz w:val="21"/>
                <w:szCs w:val="21"/>
              </w:rPr>
            </w:pPr>
          </w:p>
        </w:tc>
        <w:tc>
          <w:tcPr>
            <w:tcW w:w="2187"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甲类厂房与重要公共建筑的防火间距不应小于50m，与明火或散发火花地点的防火间距不应小于30m。</w:t>
            </w:r>
          </w:p>
        </w:tc>
        <w:tc>
          <w:tcPr>
            <w:tcW w:w="851" w:type="pct"/>
            <w:noWrap w:val="0"/>
            <w:vAlign w:val="center"/>
          </w:tcPr>
          <w:p>
            <w:pPr>
              <w:keepNext w:val="0"/>
              <w:keepLines w:val="0"/>
              <w:pageBreakBefore w:val="0"/>
              <w:tabs>
                <w:tab w:val="left" w:pos="720"/>
              </w:tabs>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《建筑设计防火规范》（2018版）GB50016-2014第3.4.2条</w:t>
            </w:r>
          </w:p>
        </w:tc>
        <w:tc>
          <w:tcPr>
            <w:tcW w:w="1323"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不涉及甲类厂房。</w:t>
            </w:r>
          </w:p>
        </w:tc>
        <w:tc>
          <w:tcPr>
            <w:tcW w:w="407"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kern w:val="0"/>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29" w:type="pct"/>
            <w:noWrap w:val="0"/>
            <w:vAlign w:val="center"/>
          </w:tcPr>
          <w:p>
            <w:pPr>
              <w:numPr>
                <w:ilvl w:val="0"/>
                <w:numId w:val="26"/>
                <w:numberingChange w:id="26" w:author="FtpDown" w:date="2020-04-20T17:01:00Z" w:original="%1:23:0:."/>
              </w:numPr>
              <w:spacing w:line="240" w:lineRule="auto"/>
              <w:jc w:val="left"/>
              <w:rPr>
                <w:rFonts w:hint="default" w:ascii="Times New Roman" w:hAnsi="Times New Roman" w:cs="Times New Roman"/>
                <w:sz w:val="21"/>
                <w:szCs w:val="21"/>
              </w:rPr>
            </w:pPr>
          </w:p>
        </w:tc>
        <w:tc>
          <w:tcPr>
            <w:tcW w:w="2187"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散发可燃气体、可燃蒸气的甲类厂房与铁路、道路等的防火间距不应小于表3.4.3的规定，但甲类厂房所属厂内铁路装卸线当有安全措施时，防火间距不受表3.4.3规定的限制。</w:t>
            </w:r>
          </w:p>
        </w:tc>
        <w:tc>
          <w:tcPr>
            <w:tcW w:w="851" w:type="pct"/>
            <w:noWrap w:val="0"/>
            <w:vAlign w:val="center"/>
          </w:tcPr>
          <w:p>
            <w:pPr>
              <w:keepNext w:val="0"/>
              <w:keepLines w:val="0"/>
              <w:pageBreakBefore w:val="0"/>
              <w:tabs>
                <w:tab w:val="left" w:pos="720"/>
              </w:tabs>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《建筑设计防火规范》（2018版）GB50016-2014第3.4.3条</w:t>
            </w:r>
          </w:p>
        </w:tc>
        <w:tc>
          <w:tcPr>
            <w:tcW w:w="1323"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不涉及。</w:t>
            </w:r>
          </w:p>
        </w:tc>
        <w:tc>
          <w:tcPr>
            <w:tcW w:w="407"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kern w:val="0"/>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29" w:type="pct"/>
            <w:noWrap w:val="0"/>
            <w:vAlign w:val="center"/>
          </w:tcPr>
          <w:p>
            <w:pPr>
              <w:numPr>
                <w:ilvl w:val="0"/>
                <w:numId w:val="26"/>
                <w:numberingChange w:id="27" w:author="FtpDown" w:date="2020-04-20T17:01:00Z" w:original="%1:24:0:."/>
              </w:numPr>
              <w:spacing w:line="240" w:lineRule="auto"/>
              <w:jc w:val="left"/>
              <w:rPr>
                <w:rFonts w:hint="default" w:ascii="Times New Roman" w:hAnsi="Times New Roman" w:cs="Times New Roman"/>
                <w:sz w:val="21"/>
                <w:szCs w:val="21"/>
              </w:rPr>
            </w:pPr>
          </w:p>
        </w:tc>
        <w:tc>
          <w:tcPr>
            <w:tcW w:w="2187"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具有酸碱性腐蚀的作业区中的建（构）筑物地面、墙壁、设备基础，应进行防腐处理。</w:t>
            </w:r>
          </w:p>
        </w:tc>
        <w:tc>
          <w:tcPr>
            <w:tcW w:w="851" w:type="pct"/>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HG20571-2014</w:t>
            </w:r>
          </w:p>
          <w:p>
            <w:pPr>
              <w:keepNext w:val="0"/>
              <w:keepLines w:val="0"/>
              <w:pageBreakBefore w:val="0"/>
              <w:tabs>
                <w:tab w:val="left" w:pos="720"/>
              </w:tabs>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第5.6.4条</w:t>
            </w:r>
          </w:p>
        </w:tc>
        <w:tc>
          <w:tcPr>
            <w:tcW w:w="1323" w:type="pct"/>
            <w:noWrap w:val="0"/>
            <w:vAlign w:val="center"/>
          </w:tcPr>
          <w:p>
            <w:pPr>
              <w:keepNext w:val="0"/>
              <w:keepLines w:val="0"/>
              <w:pageBreakBefore w:val="0"/>
              <w:tabs>
                <w:tab w:val="left" w:pos="720"/>
              </w:tabs>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具有酸碱性腐蚀的作业区已做防腐。</w:t>
            </w:r>
          </w:p>
        </w:tc>
        <w:tc>
          <w:tcPr>
            <w:tcW w:w="407" w:type="pct"/>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29" w:type="pct"/>
            <w:noWrap w:val="0"/>
            <w:vAlign w:val="center"/>
          </w:tcPr>
          <w:p>
            <w:pPr>
              <w:numPr>
                <w:ilvl w:val="0"/>
                <w:numId w:val="26"/>
                <w:numberingChange w:id="28" w:author="FtpDown" w:date="2020-04-20T17:01:00Z" w:original="%1:25:0:."/>
              </w:numPr>
              <w:spacing w:line="240" w:lineRule="auto"/>
              <w:jc w:val="left"/>
              <w:rPr>
                <w:rFonts w:hint="default" w:ascii="Times New Roman" w:hAnsi="Times New Roman" w:cs="Times New Roman"/>
                <w:sz w:val="21"/>
                <w:szCs w:val="21"/>
              </w:rPr>
            </w:pPr>
          </w:p>
        </w:tc>
        <w:tc>
          <w:tcPr>
            <w:tcW w:w="2187"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厂区围墙与厂区内建筑的间距不宜小于5m，围墙两侧建筑的间距应满足相应建筑的防火间距要求。</w:t>
            </w:r>
          </w:p>
        </w:tc>
        <w:tc>
          <w:tcPr>
            <w:tcW w:w="851" w:type="pct"/>
            <w:noWrap w:val="0"/>
            <w:vAlign w:val="center"/>
          </w:tcPr>
          <w:p>
            <w:pPr>
              <w:keepNext w:val="0"/>
              <w:keepLines w:val="0"/>
              <w:pageBreakBefore w:val="0"/>
              <w:tabs>
                <w:tab w:val="left" w:pos="720"/>
              </w:tabs>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GB50016-2014第3.4.12条</w:t>
            </w:r>
          </w:p>
        </w:tc>
        <w:tc>
          <w:tcPr>
            <w:tcW w:w="1323"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kern w:val="0"/>
                <w:sz w:val="21"/>
                <w:szCs w:val="21"/>
              </w:rPr>
            </w:pPr>
            <w:r>
              <w:rPr>
                <w:rFonts w:hint="default" w:ascii="Times New Roman" w:hAnsi="Times New Roman" w:cs="Times New Roman"/>
                <w:sz w:val="21"/>
                <w:szCs w:val="21"/>
              </w:rPr>
              <w:t>围墙与建筑的间距不小于5m，围墙两侧建筑的间距满足防火间距要求。</w:t>
            </w:r>
          </w:p>
        </w:tc>
        <w:tc>
          <w:tcPr>
            <w:tcW w:w="407"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29" w:type="pct"/>
            <w:noWrap w:val="0"/>
            <w:vAlign w:val="center"/>
          </w:tcPr>
          <w:p>
            <w:pPr>
              <w:numPr>
                <w:ilvl w:val="0"/>
                <w:numId w:val="26"/>
                <w:numberingChange w:id="29" w:author="FtpDown" w:date="2020-04-20T17:01:00Z" w:original="%1:26:0:."/>
              </w:numPr>
              <w:spacing w:line="240" w:lineRule="auto"/>
              <w:jc w:val="left"/>
              <w:rPr>
                <w:rFonts w:hint="default" w:ascii="Times New Roman" w:hAnsi="Times New Roman" w:cs="Times New Roman"/>
                <w:sz w:val="21"/>
                <w:szCs w:val="21"/>
              </w:rPr>
            </w:pPr>
          </w:p>
        </w:tc>
        <w:tc>
          <w:tcPr>
            <w:tcW w:w="2187"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厂房的安全出口应分散布置。每个防火分区或一个防火分区的每个楼层，其相邻2个安全出口最近边缘之间的水平距离不应小于5m。</w:t>
            </w:r>
          </w:p>
        </w:tc>
        <w:tc>
          <w:tcPr>
            <w:tcW w:w="851" w:type="pct"/>
            <w:noWrap w:val="0"/>
            <w:vAlign w:val="center"/>
          </w:tcPr>
          <w:p>
            <w:pPr>
              <w:keepNext w:val="0"/>
              <w:keepLines w:val="0"/>
              <w:pageBreakBefore w:val="0"/>
              <w:tabs>
                <w:tab w:val="left" w:pos="720"/>
              </w:tabs>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GB50016-2014第</w:t>
            </w:r>
            <w:r>
              <w:rPr>
                <w:rFonts w:hint="default" w:ascii="Times New Roman" w:hAnsi="Times New Roman" w:cs="Times New Roman"/>
                <w:kern w:val="0"/>
                <w:sz w:val="21"/>
                <w:szCs w:val="21"/>
              </w:rPr>
              <w:t>3.7.1</w:t>
            </w:r>
            <w:r>
              <w:rPr>
                <w:rFonts w:hint="default" w:ascii="Times New Roman" w:hAnsi="Times New Roman" w:cs="Times New Roman"/>
                <w:bCs/>
                <w:kern w:val="0"/>
                <w:sz w:val="21"/>
                <w:szCs w:val="21"/>
              </w:rPr>
              <w:t>条</w:t>
            </w:r>
          </w:p>
        </w:tc>
        <w:tc>
          <w:tcPr>
            <w:tcW w:w="1323"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厂房的安全出口按要求分散布置。</w:t>
            </w:r>
          </w:p>
        </w:tc>
        <w:tc>
          <w:tcPr>
            <w:tcW w:w="407"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29" w:type="pct"/>
            <w:noWrap w:val="0"/>
            <w:vAlign w:val="center"/>
          </w:tcPr>
          <w:p>
            <w:pPr>
              <w:numPr>
                <w:ilvl w:val="0"/>
                <w:numId w:val="26"/>
                <w:numberingChange w:id="30" w:author="FtpDown" w:date="2020-04-20T17:01:00Z" w:original="%1:27:0:."/>
              </w:numPr>
              <w:spacing w:line="240" w:lineRule="auto"/>
              <w:jc w:val="left"/>
              <w:rPr>
                <w:rFonts w:hint="default" w:ascii="Times New Roman" w:hAnsi="Times New Roman" w:cs="Times New Roman"/>
                <w:sz w:val="21"/>
                <w:szCs w:val="21"/>
              </w:rPr>
            </w:pPr>
          </w:p>
        </w:tc>
        <w:tc>
          <w:tcPr>
            <w:tcW w:w="2187"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厂房的每个防火分区、一个防火分区内的每个楼层，其安全出口的数量应经计算确定，且不应少于2个</w:t>
            </w:r>
          </w:p>
        </w:tc>
        <w:tc>
          <w:tcPr>
            <w:tcW w:w="851" w:type="pct"/>
            <w:noWrap w:val="0"/>
            <w:vAlign w:val="center"/>
          </w:tcPr>
          <w:p>
            <w:pPr>
              <w:keepNext w:val="0"/>
              <w:keepLines w:val="0"/>
              <w:pageBreakBefore w:val="0"/>
              <w:tabs>
                <w:tab w:val="left" w:pos="720"/>
              </w:tabs>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GB50016-2014第3.7.2条</w:t>
            </w:r>
          </w:p>
        </w:tc>
        <w:tc>
          <w:tcPr>
            <w:tcW w:w="1323"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车间有至少2个出入口。</w:t>
            </w:r>
          </w:p>
        </w:tc>
        <w:tc>
          <w:tcPr>
            <w:tcW w:w="407"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29" w:type="pct"/>
            <w:noWrap w:val="0"/>
            <w:vAlign w:val="center"/>
          </w:tcPr>
          <w:p>
            <w:pPr>
              <w:numPr>
                <w:ilvl w:val="0"/>
                <w:numId w:val="26"/>
                <w:numberingChange w:id="31" w:author="FtpDown" w:date="2020-04-20T17:01:00Z" w:original="%1:28:0:."/>
              </w:numPr>
              <w:spacing w:line="240" w:lineRule="auto"/>
              <w:jc w:val="left"/>
              <w:rPr>
                <w:rFonts w:hint="default" w:ascii="Times New Roman" w:hAnsi="Times New Roman" w:cs="Times New Roman"/>
                <w:sz w:val="21"/>
                <w:szCs w:val="21"/>
              </w:rPr>
            </w:pPr>
          </w:p>
        </w:tc>
        <w:tc>
          <w:tcPr>
            <w:tcW w:w="2187"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厂房内任一点到最近安全出口的距离不应大于表3.7.4的规定。</w:t>
            </w:r>
          </w:p>
        </w:tc>
        <w:tc>
          <w:tcPr>
            <w:tcW w:w="851" w:type="pct"/>
            <w:noWrap w:val="0"/>
            <w:vAlign w:val="center"/>
          </w:tcPr>
          <w:p>
            <w:pPr>
              <w:keepNext w:val="0"/>
              <w:keepLines w:val="0"/>
              <w:pageBreakBefore w:val="0"/>
              <w:tabs>
                <w:tab w:val="left" w:pos="720"/>
              </w:tabs>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GB50016-2014第3.7.4条</w:t>
            </w:r>
          </w:p>
        </w:tc>
        <w:tc>
          <w:tcPr>
            <w:tcW w:w="1323" w:type="pct"/>
            <w:noWrap w:val="0"/>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厂房内任何一点到出入口的距离小于30m。</w:t>
            </w:r>
          </w:p>
        </w:tc>
        <w:tc>
          <w:tcPr>
            <w:tcW w:w="407" w:type="pct"/>
            <w:noWrap w:val="0"/>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29" w:type="pct"/>
            <w:noWrap w:val="0"/>
            <w:vAlign w:val="center"/>
          </w:tcPr>
          <w:p>
            <w:pPr>
              <w:numPr>
                <w:ilvl w:val="0"/>
                <w:numId w:val="26"/>
                <w:numberingChange w:id="32" w:author="FtpDown" w:date="2020-04-20T17:01:00Z" w:original="%1:29:0:."/>
              </w:numPr>
              <w:spacing w:line="240" w:lineRule="auto"/>
              <w:jc w:val="left"/>
              <w:rPr>
                <w:rFonts w:hint="default" w:ascii="Times New Roman" w:hAnsi="Times New Roman" w:cs="Times New Roman"/>
                <w:sz w:val="21"/>
                <w:szCs w:val="21"/>
              </w:rPr>
            </w:pPr>
          </w:p>
        </w:tc>
        <w:tc>
          <w:tcPr>
            <w:tcW w:w="2187"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产生或可能存在毒物或酸碱等强腐蚀性物质的工作场所应设冲洗设施；高毒物质工作场所墙壁、顶棚和地面等内部结构和表面应采用耐腐蚀、不吸收、不吸附毒物的材料，必要时加设保护层；车间地面应平整光滑，易于冲洗清扫；可能产生积液的地面应做防渗透处理，并采用坡向排水系统，其废水纳入工业废水处理系统。</w:t>
            </w:r>
          </w:p>
        </w:tc>
        <w:tc>
          <w:tcPr>
            <w:tcW w:w="851" w:type="pct"/>
            <w:noWrap w:val="0"/>
            <w:vAlign w:val="center"/>
          </w:tcPr>
          <w:p>
            <w:pPr>
              <w:keepNext w:val="0"/>
              <w:keepLines w:val="0"/>
              <w:pageBreakBefore w:val="0"/>
              <w:tabs>
                <w:tab w:val="left" w:pos="720"/>
              </w:tabs>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GBZ1-2010</w:t>
            </w:r>
          </w:p>
          <w:p>
            <w:pPr>
              <w:keepNext w:val="0"/>
              <w:keepLines w:val="0"/>
              <w:pageBreakBefore w:val="0"/>
              <w:tabs>
                <w:tab w:val="left" w:pos="720"/>
              </w:tabs>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Cs/>
                <w:kern w:val="0"/>
                <w:sz w:val="21"/>
                <w:szCs w:val="21"/>
              </w:rPr>
            </w:pPr>
            <w:r>
              <w:rPr>
                <w:rFonts w:hint="default" w:ascii="Times New Roman" w:hAnsi="Times New Roman" w:cs="Times New Roman"/>
                <w:sz w:val="21"/>
                <w:szCs w:val="21"/>
              </w:rPr>
              <w:t>第6.1.2条</w:t>
            </w:r>
          </w:p>
        </w:tc>
        <w:tc>
          <w:tcPr>
            <w:tcW w:w="1323"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现场检查设置有冲洗地面、墙壁的水接头，车间地面平整。</w:t>
            </w:r>
          </w:p>
        </w:tc>
        <w:tc>
          <w:tcPr>
            <w:tcW w:w="407" w:type="pct"/>
            <w:noWrap w:val="0"/>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229" w:type="pct"/>
            <w:noWrap w:val="0"/>
            <w:vAlign w:val="center"/>
          </w:tcPr>
          <w:p>
            <w:pPr>
              <w:numPr>
                <w:ilvl w:val="0"/>
                <w:numId w:val="26"/>
                <w:numberingChange w:id="33" w:author="FtpDown" w:date="2020-04-20T17:01:00Z" w:original="%1:30:0:."/>
              </w:numPr>
              <w:spacing w:line="240" w:lineRule="auto"/>
              <w:jc w:val="left"/>
              <w:rPr>
                <w:rFonts w:hint="default" w:ascii="Times New Roman" w:hAnsi="Times New Roman" w:cs="Times New Roman"/>
                <w:sz w:val="21"/>
                <w:szCs w:val="21"/>
              </w:rPr>
            </w:pPr>
          </w:p>
        </w:tc>
        <w:tc>
          <w:tcPr>
            <w:tcW w:w="2187"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抗震设防烈度为6度及以上地区的建筑，必须进行抗震设计。</w:t>
            </w:r>
          </w:p>
        </w:tc>
        <w:tc>
          <w:tcPr>
            <w:tcW w:w="851" w:type="pct"/>
            <w:noWrap w:val="0"/>
            <w:vAlign w:val="center"/>
          </w:tcPr>
          <w:p>
            <w:pPr>
              <w:tabs>
                <w:tab w:val="left" w:pos="720"/>
              </w:tabs>
              <w:spacing w:line="24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GB50011-2010</w:t>
            </w:r>
          </w:p>
          <w:p>
            <w:pPr>
              <w:tabs>
                <w:tab w:val="left" w:pos="720"/>
              </w:tabs>
              <w:spacing w:line="240" w:lineRule="auto"/>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第1.0.2条</w:t>
            </w:r>
          </w:p>
        </w:tc>
        <w:tc>
          <w:tcPr>
            <w:tcW w:w="1323"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6级抗震设计。</w:t>
            </w:r>
          </w:p>
        </w:tc>
        <w:tc>
          <w:tcPr>
            <w:tcW w:w="407" w:type="pct"/>
            <w:noWrap w:val="0"/>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符合</w:t>
            </w:r>
          </w:p>
        </w:tc>
      </w:tr>
    </w:tbl>
    <w:p>
      <w:pPr>
        <w:ind w:firstLine="560" w:firstLineChars="200"/>
        <w:rPr>
          <w:rFonts w:hint="default" w:ascii="Times New Roman" w:hAnsi="Times New Roman" w:cs="Times New Roman"/>
        </w:rPr>
      </w:pPr>
      <w:r>
        <w:rPr>
          <w:rFonts w:hint="default" w:ascii="Times New Roman" w:hAnsi="Times New Roman" w:cs="Times New Roman"/>
        </w:rPr>
        <w:t>3.单元评价小结</w:t>
      </w:r>
    </w:p>
    <w:p>
      <w:pPr>
        <w:ind w:firstLine="560" w:firstLineChars="200"/>
        <w:rPr>
          <w:rFonts w:hint="default" w:ascii="Times New Roman" w:hAnsi="Times New Roman" w:cs="Times New Roman"/>
        </w:rPr>
      </w:pPr>
      <w:r>
        <w:rPr>
          <w:rFonts w:hint="default" w:ascii="Times New Roman" w:hAnsi="Times New Roman" w:cs="Times New Roman"/>
        </w:rPr>
        <w:t>评价组根据</w:t>
      </w:r>
      <w:r>
        <w:rPr>
          <w:rFonts w:hint="default" w:ascii="Times New Roman" w:hAnsi="Times New Roman" w:cs="Times New Roman"/>
          <w:lang w:eastAsia="zh-CN"/>
        </w:rPr>
        <w:t>上饶市广氟医药化工有限公司</w:t>
      </w:r>
      <w:r>
        <w:rPr>
          <w:rFonts w:hint="default" w:ascii="Times New Roman" w:hAnsi="Times New Roman" w:cs="Times New Roman"/>
        </w:rPr>
        <w:t>所提供的资料和现场检查情况，对该公司的总平面布置及建构筑物单元情况评价小结如下：</w:t>
      </w:r>
    </w:p>
    <w:p>
      <w:pPr>
        <w:ind w:firstLine="560" w:firstLineChars="200"/>
        <w:rPr>
          <w:rFonts w:hint="default" w:ascii="Times New Roman" w:hAnsi="Times New Roman" w:cs="Times New Roman"/>
        </w:rPr>
      </w:pPr>
      <w:r>
        <w:rPr>
          <w:rFonts w:hint="default" w:ascii="Times New Roman" w:hAnsi="Times New Roman" w:cs="Times New Roman"/>
        </w:rPr>
        <w:t>1）该</w:t>
      </w:r>
      <w:r>
        <w:rPr>
          <w:rFonts w:hint="eastAsia" w:cs="Times New Roman"/>
          <w:lang w:val="en-US" w:eastAsia="zh-CN"/>
        </w:rPr>
        <w:t>企业</w:t>
      </w:r>
      <w:r>
        <w:rPr>
          <w:rFonts w:hint="default" w:ascii="Times New Roman" w:hAnsi="Times New Roman" w:cs="Times New Roman"/>
        </w:rPr>
        <w:t>总平面布置按功能分区，各建构筑物之间合理的通道分开。设备设施的布置紧凑、合理，建构筑物外形规整。生产车间与民用建筑之间的距离远大于25m。</w:t>
      </w:r>
    </w:p>
    <w:p>
      <w:pPr>
        <w:ind w:firstLine="560" w:firstLineChars="200"/>
        <w:rPr>
          <w:rFonts w:hint="default" w:ascii="Times New Roman" w:hAnsi="Times New Roman" w:cs="Times New Roman"/>
        </w:rPr>
      </w:pPr>
      <w:r>
        <w:rPr>
          <w:rFonts w:hint="default" w:ascii="Times New Roman" w:hAnsi="Times New Roman" w:cs="Times New Roman"/>
        </w:rPr>
        <w:t>2）该</w:t>
      </w:r>
      <w:r>
        <w:rPr>
          <w:rFonts w:hint="eastAsia" w:cs="Times New Roman"/>
          <w:lang w:val="en-US" w:eastAsia="zh-CN"/>
        </w:rPr>
        <w:t>企业</w:t>
      </w:r>
      <w:r>
        <w:rPr>
          <w:rFonts w:hint="default" w:ascii="Times New Roman" w:hAnsi="Times New Roman" w:cs="Times New Roman"/>
        </w:rPr>
        <w:t>设有货流口、人流出入口，符合人流、物流分开布置要求。厂内道路布置满足生产、运输要求；与建筑物轴线平行或垂直，沿车间呈环行布置。总体布局符合《工业企业总平面设计规范》（GB50187-2012）要求。</w:t>
      </w:r>
    </w:p>
    <w:p>
      <w:pPr>
        <w:ind w:firstLine="560" w:firstLineChars="200"/>
        <w:rPr>
          <w:rFonts w:hint="default" w:ascii="Times New Roman" w:hAnsi="Times New Roman" w:cs="Times New Roman"/>
        </w:rPr>
      </w:pPr>
      <w:r>
        <w:rPr>
          <w:rFonts w:hint="default" w:ascii="Times New Roman" w:hAnsi="Times New Roman" w:cs="Times New Roman"/>
        </w:rPr>
        <w:t>3）</w:t>
      </w:r>
      <w:r>
        <w:rPr>
          <w:rFonts w:hint="eastAsia" w:cs="Times New Roman"/>
          <w:lang w:eastAsia="zh-CN"/>
        </w:rPr>
        <w:t>该企业总平面按功能分区布置，</w:t>
      </w:r>
      <w:r>
        <w:rPr>
          <w:rFonts w:hint="default" w:ascii="Times New Roman" w:hAnsi="Times New Roman" w:cs="Times New Roman"/>
        </w:rPr>
        <w:t>各功能区内部布置紧凑、合理并与相邻功能区相协调，物流输送、动力供应便捷合理。建筑物具有良好的朝向和自然通风；变、配电所未设置在爆炸性气体、粉尘环境的危险区域内。</w:t>
      </w:r>
    </w:p>
    <w:p>
      <w:pPr>
        <w:ind w:firstLine="560" w:firstLineChars="200"/>
        <w:rPr>
          <w:rFonts w:hint="default" w:ascii="Times New Roman" w:hAnsi="Times New Roman" w:cs="Times New Roman"/>
        </w:rPr>
      </w:pPr>
      <w:r>
        <w:rPr>
          <w:rFonts w:hint="default" w:ascii="Times New Roman" w:hAnsi="Times New Roman" w:cs="Times New Roman"/>
        </w:rPr>
        <w:t>4）酸碱管道采用地上敷设，未穿越与其无关的建筑物、构筑物、生产车间、辅助生产及仓储设施等；无架空电力线路跨越。</w:t>
      </w:r>
    </w:p>
    <w:p>
      <w:pPr>
        <w:ind w:firstLine="536" w:firstLineChars="200"/>
        <w:rPr>
          <w:rFonts w:hint="default" w:ascii="Times New Roman" w:hAnsi="Times New Roman" w:cs="Times New Roman"/>
          <w:spacing w:val="-6"/>
          <w:sz w:val="28"/>
        </w:rPr>
      </w:pPr>
      <w:r>
        <w:rPr>
          <w:rFonts w:hint="default" w:ascii="Times New Roman" w:hAnsi="Times New Roman" w:cs="Times New Roman"/>
          <w:spacing w:val="-6"/>
          <w:sz w:val="28"/>
        </w:rPr>
        <w:t>5）</w:t>
      </w:r>
      <w:r>
        <w:rPr>
          <w:rFonts w:hint="eastAsia" w:cs="Times New Roman"/>
          <w:spacing w:val="-6"/>
          <w:sz w:val="28"/>
          <w:lang w:eastAsia="zh-CN"/>
        </w:rPr>
        <w:t>该企业生产车间耐火等级不低于二级</w:t>
      </w:r>
      <w:r>
        <w:rPr>
          <w:rFonts w:hint="default" w:ascii="Times New Roman" w:hAnsi="Times New Roman" w:cs="Times New Roman"/>
          <w:spacing w:val="-6"/>
          <w:sz w:val="28"/>
        </w:rPr>
        <w:t>，建筑面积及防火分区符合要求。</w:t>
      </w:r>
    </w:p>
    <w:p>
      <w:pPr>
        <w:ind w:firstLine="560" w:firstLineChars="200"/>
        <w:rPr>
          <w:rFonts w:hint="default" w:ascii="Times New Roman" w:hAnsi="Times New Roman" w:cs="Times New Roman"/>
        </w:rPr>
      </w:pPr>
      <w:r>
        <w:rPr>
          <w:rFonts w:hint="default" w:ascii="Times New Roman" w:hAnsi="Times New Roman" w:cs="Times New Roman"/>
        </w:rPr>
        <w:t>6）</w:t>
      </w:r>
      <w:r>
        <w:rPr>
          <w:rFonts w:hint="eastAsia" w:cs="Times New Roman"/>
          <w:lang w:eastAsia="zh-CN"/>
        </w:rPr>
        <w:t>该企业建构筑物抗震设防烈为6度</w:t>
      </w:r>
      <w:r>
        <w:rPr>
          <w:rFonts w:hint="default" w:ascii="Times New Roman" w:hAnsi="Times New Roman" w:cs="Times New Roman"/>
        </w:rPr>
        <w:t>，符合《建筑抗震设计规范》和《构筑物抗震设计规范》要求。</w:t>
      </w:r>
    </w:p>
    <w:p>
      <w:pPr>
        <w:ind w:firstLine="560" w:firstLineChars="200"/>
        <w:rPr>
          <w:rFonts w:hint="default" w:ascii="Times New Roman" w:hAnsi="Times New Roman" w:eastAsia="宋体" w:cs="Times New Roman"/>
          <w:lang w:eastAsia="zh-CN"/>
        </w:rPr>
      </w:pPr>
      <w:r>
        <w:rPr>
          <w:rFonts w:hint="default" w:ascii="Times New Roman" w:hAnsi="Times New Roman" w:cs="Times New Roman"/>
          <w:lang w:val="en-US" w:eastAsia="zh-CN"/>
        </w:rPr>
        <w:t>7</w:t>
      </w:r>
      <w:r>
        <w:rPr>
          <w:rFonts w:hint="default" w:ascii="Times New Roman" w:hAnsi="Times New Roman" w:cs="Times New Roman"/>
        </w:rPr>
        <w:t>）</w:t>
      </w:r>
      <w:r>
        <w:rPr>
          <w:rFonts w:hint="default" w:ascii="Times New Roman" w:hAnsi="Times New Roman" w:cs="Times New Roman"/>
          <w:lang w:eastAsia="zh-CN"/>
        </w:rPr>
        <w:t>对该单元进行了3</w:t>
      </w:r>
      <w:r>
        <w:rPr>
          <w:rFonts w:hint="default" w:ascii="Times New Roman" w:hAnsi="Times New Roman" w:cs="Times New Roman"/>
          <w:lang w:val="en-US" w:eastAsia="zh-CN"/>
        </w:rPr>
        <w:t>0</w:t>
      </w:r>
      <w:r>
        <w:rPr>
          <w:rFonts w:hint="default" w:ascii="Times New Roman" w:hAnsi="Times New Roman" w:cs="Times New Roman"/>
          <w:lang w:eastAsia="zh-CN"/>
        </w:rPr>
        <w:t>项现场检查，无不符合项。</w:t>
      </w:r>
    </w:p>
    <w:p>
      <w:pPr>
        <w:pStyle w:val="4"/>
        <w:rPr>
          <w:rFonts w:hint="default" w:ascii="Times New Roman" w:hAnsi="Times New Roman" w:cs="Times New Roman"/>
        </w:rPr>
      </w:pPr>
      <w:bookmarkStart w:id="135" w:name="_Toc2201"/>
      <w:bookmarkStart w:id="136" w:name="_Toc23488"/>
      <w:bookmarkStart w:id="137" w:name="_Toc4326"/>
      <w:r>
        <w:rPr>
          <w:rFonts w:hint="default" w:ascii="Times New Roman" w:hAnsi="Times New Roman" w:cs="Times New Roman"/>
        </w:rPr>
        <w:t>C.3生产工艺、设备装置单元</w:t>
      </w:r>
      <w:bookmarkEnd w:id="135"/>
      <w:bookmarkEnd w:id="136"/>
      <w:bookmarkEnd w:id="137"/>
    </w:p>
    <w:p>
      <w:pPr>
        <w:ind w:firstLine="560" w:firstLineChars="200"/>
        <w:rPr>
          <w:rFonts w:hint="default" w:ascii="Times New Roman" w:hAnsi="Times New Roman" w:cs="Times New Roman"/>
        </w:rPr>
      </w:pPr>
      <w:r>
        <w:rPr>
          <w:rFonts w:hint="default" w:ascii="Times New Roman" w:hAnsi="Times New Roman" w:cs="Times New Roman"/>
        </w:rPr>
        <w:t>1.安全检查表法分析评价</w:t>
      </w:r>
    </w:p>
    <w:p>
      <w:pPr>
        <w:ind w:firstLine="560" w:firstLineChars="200"/>
        <w:rPr>
          <w:rFonts w:hint="default" w:ascii="Times New Roman" w:hAnsi="Times New Roman" w:cs="Times New Roman"/>
        </w:rPr>
      </w:pPr>
      <w:r>
        <w:rPr>
          <w:rFonts w:hint="default" w:ascii="Times New Roman" w:hAnsi="Times New Roman" w:cs="Times New Roman"/>
          <w:sz w:val="28"/>
          <w:szCs w:val="28"/>
        </w:rPr>
        <w:t>评价组根据</w:t>
      </w:r>
      <w:r>
        <w:rPr>
          <w:rFonts w:hint="default" w:ascii="Times New Roman" w:hAnsi="Times New Roman" w:cs="Times New Roman"/>
          <w:sz w:val="28"/>
          <w:szCs w:val="28"/>
          <w:lang w:eastAsia="zh-CN"/>
        </w:rPr>
        <w:t>《中华人民共和国安全生产法》、</w:t>
      </w:r>
      <w:r>
        <w:rPr>
          <w:rFonts w:hint="default" w:ascii="Times New Roman" w:hAnsi="Times New Roman" w:cs="Times New Roman"/>
          <w:sz w:val="28"/>
          <w:szCs w:val="28"/>
        </w:rPr>
        <w:t>《化工企业安全卫生设计规范》、《生产设备安全卫生设计总则》、《石油化工可燃气体和有毒气体检测报警设计标准》、《首批重点监管的危险化学品安全措施和事故应急处置原则》制定检查表，对生产装置设备设施的安全联锁装置及自动化控制、现场泄漏气体检测、监控及安全防护设备设施等是否符合规范、标准的要求进行检查。</w:t>
      </w:r>
      <w:r>
        <w:rPr>
          <w:rFonts w:hint="default" w:ascii="Times New Roman" w:hAnsi="Times New Roman" w:cs="Times New Roman"/>
        </w:rPr>
        <w:t>检查结果见附表C.3-1。</w:t>
      </w:r>
    </w:p>
    <w:p>
      <w:pPr>
        <w:jc w:val="center"/>
        <w:rPr>
          <w:rFonts w:hint="default" w:ascii="Times New Roman" w:hAnsi="Times New Roman" w:cs="Times New Roman"/>
        </w:rPr>
      </w:pPr>
      <w:r>
        <w:rPr>
          <w:rFonts w:hint="default" w:ascii="Times New Roman" w:hAnsi="Times New Roman" w:cs="Times New Roman"/>
        </w:rPr>
        <w:t>附表C.3-1生产工艺装置子单元安全检查表</w:t>
      </w:r>
    </w:p>
    <w:tbl>
      <w:tblPr>
        <w:tblStyle w:val="25"/>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4332"/>
        <w:gridCol w:w="709"/>
        <w:gridCol w:w="1559"/>
        <w:gridCol w:w="2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序号</w:t>
            </w: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检查项目和内容</w:t>
            </w:r>
          </w:p>
        </w:tc>
        <w:tc>
          <w:tcPr>
            <w:tcW w:w="70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检查结果</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检查依据</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9" w:type="dxa"/>
            <w:gridSpan w:val="5"/>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b/>
                <w:bCs/>
                <w:kern w:val="2"/>
                <w:sz w:val="21"/>
                <w:szCs w:val="21"/>
                <w:lang w:eastAsia="zh-CN"/>
              </w:rPr>
              <w:t>一般规定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生产经营单位不得使用应当淘汰的危及生产安全的工艺、设备。</w:t>
            </w:r>
          </w:p>
        </w:tc>
        <w:tc>
          <w:tcPr>
            <w:tcW w:w="70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《中华人民共和国安全生产法》第38条</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不涉及淘汰、禁止使用的危及生产安全的工艺、设备。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9" w:type="dxa"/>
            <w:tcBorders>
              <w:tl2br w:val="nil"/>
              <w:tr2bl w:val="nil"/>
            </w:tcBorders>
            <w:vAlign w:val="center"/>
          </w:tcPr>
          <w:p>
            <w:pPr>
              <w:pStyle w:val="70"/>
              <w:keepNext w:val="0"/>
              <w:keepLines w:val="0"/>
              <w:pageBreakBefore w:val="0"/>
              <w:widowControl/>
              <w:numPr>
                <w:ilvl w:val="0"/>
                <w:numId w:val="27"/>
              </w:numPr>
              <w:kinsoku/>
              <w:wordWrap/>
              <w:overflowPunct/>
              <w:topLinePunct w:val="0"/>
              <w:autoSpaceDE/>
              <w:autoSpaceDN/>
              <w:bidi w:val="0"/>
              <w:adjustRightInd/>
              <w:snapToGrid/>
              <w:spacing w:before="0" w:beforeAutospacing="0" w:after="0" w:afterAutospacing="0" w:line="240" w:lineRule="auto"/>
              <w:ind w:left="0" w:firstLine="0"/>
              <w:textAlignment w:val="auto"/>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应采用没有危害或危害较小的新工艺、新技术、新设备。淘汰职业病危害严重又难以治理的落后工艺和设备，降低、减少、削弱生产过程对环境和操作人员的危害。</w:t>
            </w:r>
          </w:p>
        </w:tc>
        <w:tc>
          <w:tcPr>
            <w:tcW w:w="709" w:type="dxa"/>
            <w:tcBorders>
              <w:tl2br w:val="nil"/>
              <w:tr2bl w:val="nil"/>
            </w:tcBorders>
            <w:vAlign w:val="center"/>
          </w:tcPr>
          <w:p>
            <w:pPr>
              <w:pStyle w:val="7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符合要求</w:t>
            </w:r>
          </w:p>
        </w:tc>
        <w:tc>
          <w:tcPr>
            <w:tcW w:w="1559" w:type="dxa"/>
            <w:tcBorders>
              <w:tl2br w:val="nil"/>
              <w:tr2bl w:val="nil"/>
            </w:tcBorders>
            <w:vAlign w:val="center"/>
          </w:tcPr>
          <w:p>
            <w:pPr>
              <w:pStyle w:val="7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《化工企业安全卫生设计规范》3.3.2</w:t>
            </w:r>
          </w:p>
        </w:tc>
        <w:tc>
          <w:tcPr>
            <w:tcW w:w="2490" w:type="dxa"/>
            <w:tcBorders>
              <w:tl2br w:val="nil"/>
              <w:tr2bl w:val="nil"/>
            </w:tcBorders>
            <w:vAlign w:val="center"/>
          </w:tcPr>
          <w:p>
            <w:pPr>
              <w:pStyle w:val="7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成熟工艺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对具有危险和有害因素的生产过程应合理地采用机械化、自动化和计算机技术，实现遥控或隔离操作。</w:t>
            </w:r>
          </w:p>
        </w:tc>
        <w:tc>
          <w:tcPr>
            <w:tcW w:w="709" w:type="dxa"/>
            <w:tcBorders>
              <w:tl2br w:val="nil"/>
              <w:tr2bl w:val="nil"/>
            </w:tcBorders>
            <w:vAlign w:val="center"/>
          </w:tcPr>
          <w:p>
            <w:pPr>
              <w:pStyle w:val="70"/>
              <w:spacing w:before="0" w:beforeAutospacing="0" w:after="0" w:afterAutospacing="0" w:line="240" w:lineRule="auto"/>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《化工企业安全卫生设计规范》3.3.3</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生产过程合理地采用机械化、自动化和计算机技术操作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sz w:val="21"/>
                <w:szCs w:val="21"/>
                <w:lang w:eastAsia="zh-CN"/>
              </w:rPr>
              <w:t>具有危险和有害因素的生产过程，应设置监测仪器、仪表，并设计必要的报警、联锁及紧急停车系统。</w:t>
            </w:r>
          </w:p>
        </w:tc>
        <w:tc>
          <w:tcPr>
            <w:tcW w:w="709" w:type="dxa"/>
            <w:tcBorders>
              <w:tl2br w:val="nil"/>
              <w:tr2bl w:val="nil"/>
            </w:tcBorders>
            <w:vAlign w:val="center"/>
          </w:tcPr>
          <w:p>
            <w:pPr>
              <w:pStyle w:val="70"/>
              <w:spacing w:before="0" w:beforeAutospacing="0" w:after="0" w:afterAutospacing="0" w:line="240" w:lineRule="auto"/>
              <w:jc w:val="center"/>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《化工企业安全卫生设计规范》3.3.4</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val="en-US" w:eastAsia="zh-CN"/>
              </w:rPr>
              <w:t>生产装置按设计设置气体报警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生产设备及其零部件，必须有足够的强度、刚度、稳定性和可靠性。在按规定条件制造、运输、贮存、安装和使用时，不得对人员造成危险。</w:t>
            </w:r>
          </w:p>
        </w:tc>
        <w:tc>
          <w:tcPr>
            <w:tcW w:w="70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《生产设备安全卫生设计规定》4.1</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有足够的强度、刚度、稳定性和可靠性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易被腐蚀或空蚀的生产设备及其零部件应选用耐腐蚀或耐空蚀材料制造，并应采取防蚀措施。同时，应规定检查和更换周期。</w:t>
            </w:r>
          </w:p>
        </w:tc>
        <w:tc>
          <w:tcPr>
            <w:tcW w:w="70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《生产设备安全卫生设计规定》5.2.4</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涉及</w:t>
            </w:r>
            <w:r>
              <w:rPr>
                <w:rFonts w:hint="default" w:ascii="Times New Roman" w:hAnsi="Times New Roman" w:cs="Times New Roman"/>
                <w:kern w:val="2"/>
                <w:sz w:val="21"/>
                <w:szCs w:val="21"/>
                <w:lang w:val="en-US" w:eastAsia="zh-CN"/>
              </w:rPr>
              <w:t>氢氟酸</w:t>
            </w:r>
            <w:r>
              <w:rPr>
                <w:rFonts w:hint="default" w:ascii="Times New Roman" w:hAnsi="Times New Roman" w:cs="Times New Roman"/>
                <w:kern w:val="2"/>
                <w:sz w:val="21"/>
                <w:szCs w:val="21"/>
                <w:lang w:eastAsia="zh-CN"/>
              </w:rPr>
              <w:t>等腐蚀性物料的设备采用耐腐蚀材料制造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禁止使用能与工作介质发生反应而造成危害（爆炸或生成有害物质等）的材料</w:t>
            </w:r>
          </w:p>
        </w:tc>
        <w:tc>
          <w:tcPr>
            <w:tcW w:w="70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《生产设备安全卫生设计》5.2.5</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该装置未使用能与工作介质发生反应而造成危害（爆炸或生成有害物质等）的材料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处理可燃气体、易燃和可燃液体的设备，其基础和本体应使用非燃烧材料制造。</w:t>
            </w:r>
          </w:p>
        </w:tc>
        <w:tc>
          <w:tcPr>
            <w:tcW w:w="70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《生产设备安全卫生设计规定》5.2.6</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使用非燃烧材料制造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生产设备不应在振动、风载或其他可预见的外载荷作用下倾覆或产生允许范围外的运动。</w:t>
            </w:r>
          </w:p>
        </w:tc>
        <w:tc>
          <w:tcPr>
            <w:tcW w:w="70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《生产设备安全卫生设计规定》5.3.1</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生产设备安装牢固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控制装置应保证，当动力源发生异常（偶然或人为地切断或变化）时，也不会造成危险。必要时，控制装置应能自动切换到备用动力源和备用设备系统。</w:t>
            </w:r>
          </w:p>
        </w:tc>
        <w:tc>
          <w:tcPr>
            <w:tcW w:w="70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《生产设备安全卫生设计总则》5.6.1.1</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控制系统设UPS不间断电源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自动或半自动控制系统应设有必要的保护装置，以防止控制指令紊乱。同时，在每台设备上还应辅以能单独操纵的手动控制装置</w:t>
            </w:r>
          </w:p>
        </w:tc>
        <w:tc>
          <w:tcPr>
            <w:tcW w:w="70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《生产设备安全卫生设计总则》5.6.1.2</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自动控制系统设有必要的保护装置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生产场所、作业点的紧急通道和出入口，应设置醒目的标志。</w:t>
            </w:r>
          </w:p>
        </w:tc>
        <w:tc>
          <w:tcPr>
            <w:tcW w:w="70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不</w:t>
            </w:r>
            <w:r>
              <w:rPr>
                <w:rFonts w:hint="default" w:ascii="Times New Roman" w:hAnsi="Times New Roman" w:cs="Times New Roman"/>
                <w:kern w:val="2"/>
                <w:sz w:val="21"/>
                <w:szCs w:val="21"/>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《生产过程安全卫生要求总则》6.8.3</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紧急通道和出入口未设置醒目的标志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9" w:type="dxa"/>
            <w:gridSpan w:val="5"/>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b/>
                <w:bCs/>
                <w:kern w:val="2"/>
                <w:sz w:val="21"/>
                <w:szCs w:val="21"/>
                <w:lang w:eastAsia="zh-CN"/>
              </w:rPr>
              <w:t>重点监管的危险化学品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autoSpaceDE w:val="0"/>
              <w:autoSpaceDN w:val="0"/>
              <w:adjustRightIn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操作人员必须经过专门培训，严格遵守操作规程，熟练掌握操作技能，具备应急处置知识。</w:t>
            </w:r>
          </w:p>
        </w:tc>
        <w:tc>
          <w:tcPr>
            <w:tcW w:w="709" w:type="dxa"/>
            <w:tcBorders>
              <w:tl2br w:val="nil"/>
              <w:tr2bl w:val="nil"/>
            </w:tcBorders>
            <w:vAlign w:val="center"/>
          </w:tcPr>
          <w:p>
            <w:pPr>
              <w:spacing w:line="240" w:lineRule="auto"/>
              <w:jc w:val="center"/>
              <w:rPr>
                <w:rFonts w:hint="default" w:ascii="Times New Roman" w:hAnsi="Times New Roman" w:cs="Times New Roman"/>
                <w:sz w:val="20"/>
                <w:szCs w:val="20"/>
              </w:rPr>
            </w:pPr>
            <w:r>
              <w:rPr>
                <w:rFonts w:hint="default" w:ascii="Times New Roman" w:hAnsi="Times New Roman" w:cs="Times New Roman"/>
                <w:sz w:val="21"/>
                <w:szCs w:val="21"/>
              </w:rPr>
              <w:t>符合要求</w:t>
            </w:r>
          </w:p>
        </w:tc>
        <w:tc>
          <w:tcPr>
            <w:tcW w:w="1559" w:type="dxa"/>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《首批重点监管的危险化学品安全措施和应急处置原则》</w:t>
            </w:r>
            <w:r>
              <w:rPr>
                <w:rFonts w:hint="default" w:ascii="Times New Roman" w:hAnsi="Times New Roman" w:cs="Times New Roman"/>
                <w:sz w:val="21"/>
                <w:szCs w:val="21"/>
                <w:lang w:val="en-US" w:eastAsia="zh-CN"/>
              </w:rPr>
              <w:t>氢氟酸</w:t>
            </w:r>
          </w:p>
        </w:tc>
        <w:tc>
          <w:tcPr>
            <w:tcW w:w="2490" w:type="dxa"/>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操作人员</w:t>
            </w:r>
            <w:r>
              <w:rPr>
                <w:rFonts w:hint="default" w:ascii="Times New Roman" w:hAnsi="Times New Roman" w:cs="Times New Roman"/>
                <w:sz w:val="21"/>
                <w:szCs w:val="21"/>
              </w:rPr>
              <w:t>经过培训上岗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tcPr>
          <w:p>
            <w:pPr>
              <w:pStyle w:val="70"/>
              <w:numPr>
                <w:ilvl w:val="0"/>
                <w:numId w:val="27"/>
              </w:numPr>
              <w:spacing w:before="0" w:beforeAutospacing="0" w:after="0" w:afterAutospacing="0" w:line="240" w:lineRule="auto"/>
              <w:ind w:left="0" w:firstLine="0"/>
              <w:jc w:val="center"/>
              <w:rPr>
                <w:rFonts w:hint="default" w:ascii="Times New Roman" w:hAnsi="Times New Roman" w:cs="Times New Roman"/>
                <w:kern w:val="2"/>
                <w:sz w:val="21"/>
                <w:szCs w:val="21"/>
                <w:lang w:eastAsia="zh-CN"/>
              </w:rPr>
            </w:pPr>
          </w:p>
        </w:tc>
        <w:tc>
          <w:tcPr>
            <w:tcW w:w="4332" w:type="dxa"/>
            <w:tcBorders>
              <w:tl2br w:val="nil"/>
              <w:tr2bl w:val="nil"/>
            </w:tcBorders>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严加密闭，防止泄漏，提供充分的局部排风和全面通风或采用露天设置，提供安全淋浴和洗眼设备。作业现场应设置氟化氢有毒气体检测报警仪。配备两套以上重型防护服。穿橡胶耐酸碱服，戴橡胶耐酸碱手套，工作场所浓度超标的，操作人员应该佩戴自吸过滤式防毒面具。宜采用隔离式、机械化、自动化操作。避免产生酸雾。</w:t>
            </w:r>
          </w:p>
        </w:tc>
        <w:tc>
          <w:tcPr>
            <w:tcW w:w="709" w:type="dxa"/>
            <w:tcBorders>
              <w:tl2br w:val="nil"/>
              <w:tr2bl w:val="nil"/>
            </w:tcBorders>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不</w:t>
            </w:r>
            <w:r>
              <w:rPr>
                <w:rFonts w:hint="default" w:ascii="Times New Roman" w:hAnsi="Times New Roman" w:cs="Times New Roman"/>
                <w:sz w:val="21"/>
                <w:szCs w:val="21"/>
              </w:rPr>
              <w:t>符合要求</w:t>
            </w:r>
          </w:p>
        </w:tc>
        <w:tc>
          <w:tcPr>
            <w:tcW w:w="1559" w:type="dxa"/>
            <w:vMerge w:val="continue"/>
            <w:tcBorders>
              <w:tl2br w:val="nil"/>
              <w:tr2bl w:val="nil"/>
            </w:tcBorders>
          </w:tcPr>
          <w:p>
            <w:pPr>
              <w:spacing w:line="240" w:lineRule="auto"/>
              <w:jc w:val="center"/>
              <w:rPr>
                <w:rFonts w:hint="default" w:ascii="Times New Roman" w:hAnsi="Times New Roman" w:cs="Times New Roman"/>
                <w:sz w:val="21"/>
                <w:szCs w:val="21"/>
              </w:rPr>
            </w:pPr>
          </w:p>
        </w:tc>
        <w:tc>
          <w:tcPr>
            <w:tcW w:w="2490" w:type="dxa"/>
            <w:tcBorders>
              <w:tl2br w:val="nil"/>
              <w:tr2bl w:val="nil"/>
            </w:tcBorders>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车间设有局部排风，罐区露天设置，设有安全淋浴和洗眼设备。作业场所设置氟化氢有毒气体检测报警仪。未配备两套以上重型防护服。未为操作人员提供自吸过滤式防毒面具。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autoSpaceDE w:val="0"/>
              <w:autoSpaceDN w:val="0"/>
              <w:adjustRightIn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储罐等压力容器和设备应设置安全阀、压力表、液位计、温度计，并应装有带压力、液位、温度远传记录和报警功能的安全装置，设置整流装置与压力机、动力电源、管线压力、通风设施或相应的吸收装置的联锁装置。重点储罐需设置紧急切断装置。</w:t>
            </w:r>
          </w:p>
        </w:tc>
        <w:tc>
          <w:tcPr>
            <w:tcW w:w="709"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559" w:type="dxa"/>
            <w:vMerge w:val="continue"/>
            <w:tcBorders>
              <w:tl2br w:val="nil"/>
              <w:tr2bl w:val="nil"/>
            </w:tcBorders>
          </w:tcPr>
          <w:p>
            <w:pPr>
              <w:spacing w:line="240" w:lineRule="auto"/>
              <w:rPr>
                <w:rFonts w:hint="default" w:ascii="Times New Roman" w:hAnsi="Times New Roman" w:cs="Times New Roman"/>
                <w:sz w:val="21"/>
                <w:szCs w:val="21"/>
              </w:rPr>
            </w:pPr>
          </w:p>
        </w:tc>
        <w:tc>
          <w:tcPr>
            <w:tcW w:w="2490" w:type="dxa"/>
            <w:tcBorders>
              <w:tl2br w:val="nil"/>
              <w:tr2bl w:val="nil"/>
            </w:tcBorders>
            <w:vAlign w:val="center"/>
          </w:tcPr>
          <w:p>
            <w:pPr>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储罐设有液位、温度远传记录和报警功能的安全装置。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autoSpaceDE w:val="0"/>
              <w:autoSpaceDN w:val="0"/>
              <w:adjustRightIn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避免与氧化剂、酸类、碱类接触。</w:t>
            </w:r>
          </w:p>
        </w:tc>
        <w:tc>
          <w:tcPr>
            <w:tcW w:w="709"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559" w:type="dxa"/>
            <w:vMerge w:val="continue"/>
            <w:tcBorders>
              <w:tl2br w:val="nil"/>
              <w:tr2bl w:val="nil"/>
            </w:tcBorders>
          </w:tcPr>
          <w:p>
            <w:pPr>
              <w:spacing w:line="240" w:lineRule="auto"/>
              <w:rPr>
                <w:rFonts w:hint="default" w:ascii="Times New Roman" w:hAnsi="Times New Roman" w:cs="Times New Roman"/>
                <w:sz w:val="21"/>
                <w:szCs w:val="21"/>
              </w:rPr>
            </w:pPr>
          </w:p>
        </w:tc>
        <w:tc>
          <w:tcPr>
            <w:tcW w:w="2490" w:type="dxa"/>
            <w:tcBorders>
              <w:tl2br w:val="nil"/>
              <w:tr2bl w:val="nil"/>
            </w:tcBorders>
            <w:vAlign w:val="center"/>
          </w:tcPr>
          <w:p>
            <w:pPr>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未与氧化剂、酸类、碱类接触。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autoSpaceDE w:val="0"/>
              <w:autoSpaceDN w:val="0"/>
              <w:adjustRightInd w:val="0"/>
              <w:spacing w:line="240" w:lineRule="auto"/>
              <w:rPr>
                <w:rFonts w:hint="default" w:ascii="Times New Roman" w:hAnsi="Times New Roman" w:cs="Times New Roman"/>
                <w:sz w:val="21"/>
                <w:szCs w:val="21"/>
              </w:rPr>
            </w:pPr>
            <w:r>
              <w:rPr>
                <w:rStyle w:val="71"/>
                <w:rFonts w:hint="default" w:ascii="Times New Roman" w:hAnsi="Times New Roman" w:cs="Times New Roman"/>
                <w:sz w:val="22"/>
                <w:szCs w:val="22"/>
                <w:shd w:val="clear" w:color="auto" w:fill="FFFFFF"/>
              </w:rPr>
              <w:t>生产、储存区域应设置安全警示标志。搬运时轻装轻卸，防止钢瓶及附件破损。吊装时，应将气瓶放置在符合安全要求的专用筐中进行吊运。禁止使用电磁起重机和用链绳捆扎,或将瓶阀作为吊运着力点。配备相应品种和数量的消防器材及泄漏应急处理设备。工作现场禁止吸烟、进食和饮水。保持良好的卫生习惯。车间应配备急救设备及药品。倒空的容器可能残留有害物应及时处理。</w:t>
            </w:r>
          </w:p>
        </w:tc>
        <w:tc>
          <w:tcPr>
            <w:tcW w:w="709" w:type="dxa"/>
            <w:tcBorders>
              <w:tl2br w:val="nil"/>
              <w:tr2bl w:val="nil"/>
            </w:tcBorders>
            <w:vAlign w:val="center"/>
          </w:tcPr>
          <w:p>
            <w:pPr>
              <w:spacing w:line="240" w:lineRule="auto"/>
              <w:jc w:val="center"/>
              <w:rPr>
                <w:rFonts w:hint="default" w:ascii="Times New Roman" w:hAnsi="Times New Roman" w:cs="Times New Roman"/>
                <w:sz w:val="20"/>
                <w:szCs w:val="20"/>
              </w:rPr>
            </w:pPr>
            <w:r>
              <w:rPr>
                <w:rFonts w:hint="default" w:ascii="Times New Roman" w:hAnsi="Times New Roman" w:cs="Times New Roman"/>
                <w:sz w:val="21"/>
                <w:szCs w:val="21"/>
              </w:rPr>
              <w:t>符合要求</w:t>
            </w:r>
          </w:p>
        </w:tc>
        <w:tc>
          <w:tcPr>
            <w:tcW w:w="1559" w:type="dxa"/>
            <w:vMerge w:val="continue"/>
            <w:tcBorders>
              <w:tl2br w:val="nil"/>
              <w:tr2bl w:val="nil"/>
            </w:tcBorders>
          </w:tcPr>
          <w:p>
            <w:pPr>
              <w:spacing w:line="240" w:lineRule="auto"/>
              <w:rPr>
                <w:rFonts w:hint="default" w:ascii="Times New Roman" w:hAnsi="Times New Roman" w:cs="Times New Roman"/>
                <w:sz w:val="21"/>
                <w:szCs w:val="21"/>
              </w:rPr>
            </w:pPr>
          </w:p>
        </w:tc>
        <w:tc>
          <w:tcPr>
            <w:tcW w:w="2490" w:type="dxa"/>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车间和罐区设有相应的安全警示标志</w:t>
            </w: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19" w:type="dxa"/>
            <w:gridSpan w:val="5"/>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b/>
                <w:bCs/>
                <w:sz w:val="21"/>
                <w:szCs w:val="21"/>
              </w:rPr>
              <w:t>有毒气体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tcPr>
          <w:p>
            <w:pPr>
              <w:autoSpaceDE w:val="0"/>
              <w:autoSpaceDN w:val="0"/>
              <w:adjustRightInd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在生产或使用可燃气体及有毒气体的生产设施及储运设施的区域内，泄漏气体中可燃气体浓度可能达到报警设定值时，应设置可燃气体探测器; 泄漏气体中有毒气体浓度可能达到报警设定值时,应设置有赤气体探测器;既属于可燃气体又属于有毒气体的单组分气体介质,应设有毒气体探探测器。可燃气体与有毒气体同时存在的多组分混合气体,泄漏时可燃气体浓度和有毒气体浓度有可能同时达到报警设定值.应分别设置可燃气体探测器和有毒气体探测器。</w:t>
            </w:r>
          </w:p>
        </w:tc>
        <w:tc>
          <w:tcPr>
            <w:tcW w:w="709" w:type="dxa"/>
            <w:tcBorders>
              <w:tl2br w:val="nil"/>
              <w:tr2bl w:val="nil"/>
            </w:tcBorders>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559" w:type="dxa"/>
            <w:tcBorders>
              <w:tl2br w:val="nil"/>
              <w:tr2bl w:val="nil"/>
            </w:tcBorders>
            <w:vAlign w:val="center"/>
          </w:tcPr>
          <w:p>
            <w:pPr>
              <w:autoSpaceDE w:val="0"/>
              <w:autoSpaceDN w:val="0"/>
              <w:adjustRightIn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《石油化工可燃气体和有毒气体检测报警设计标准》3.0.1</w:t>
            </w:r>
          </w:p>
        </w:tc>
        <w:tc>
          <w:tcPr>
            <w:tcW w:w="2490"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设置了相应的有毒气体探头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可燃气体和有毒气体的检测报警应采用两级报警。同级别的有毒气体和可燃气体同时报警时，有毒气体的报警级别应优先。</w:t>
            </w:r>
          </w:p>
        </w:tc>
        <w:tc>
          <w:tcPr>
            <w:tcW w:w="709"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559" w:type="dxa"/>
            <w:tcBorders>
              <w:tl2br w:val="nil"/>
              <w:tr2bl w:val="nil"/>
            </w:tcBorders>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《石油化工可燃气体和有毒气体检测报警设计标准》3.0.2</w:t>
            </w:r>
          </w:p>
        </w:tc>
        <w:tc>
          <w:tcPr>
            <w:tcW w:w="2490"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采用两级报警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控制室操作区应设置可燃气体和有毒气体声、光报警；现场区域警报器宜根据装置占地的面积、设备及建构筑物的布置、释放源的理化性质和现场空气流动特点进行设置,现场区域警报器应有声、光报警功能。</w:t>
            </w:r>
          </w:p>
        </w:tc>
        <w:tc>
          <w:tcPr>
            <w:tcW w:w="709"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559" w:type="dxa"/>
            <w:tcBorders>
              <w:tl2br w:val="nil"/>
              <w:tr2bl w:val="nil"/>
            </w:tcBorders>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《石油化工可燃气体和有毒气体检测报警设计标准》3.0.4</w:t>
            </w:r>
          </w:p>
        </w:tc>
        <w:tc>
          <w:tcPr>
            <w:tcW w:w="2490"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设置声光报警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需要设置可燃气体、有毒气体探测器的场所,宜采用固定式探测器;需要临时检测可燃气体、有毒气体的场所，宜配备移动式气体探测器。</w:t>
            </w:r>
          </w:p>
        </w:tc>
        <w:tc>
          <w:tcPr>
            <w:tcW w:w="709"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559" w:type="dxa"/>
            <w:tcBorders>
              <w:tl2br w:val="nil"/>
              <w:tr2bl w:val="nil"/>
            </w:tcBorders>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《石油化工可燃气体和有毒气体检测报警设计标准》3.0.6</w:t>
            </w:r>
          </w:p>
        </w:tc>
        <w:tc>
          <w:tcPr>
            <w:tcW w:w="2490"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检（探）测器采用固定式、配备便携式气体探测器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进入爆炸性气体环境或有毒气体环境的现场工作人员，应配备便携式可燃气体和（或）有毒气体探测器。进入的环境同时存在爆炸性气体和有毒气体时，便携式可燃气体和有毒气体探测器可采用多传感器类型。</w:t>
            </w:r>
          </w:p>
        </w:tc>
        <w:tc>
          <w:tcPr>
            <w:tcW w:w="709"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559" w:type="dxa"/>
            <w:tcBorders>
              <w:tl2br w:val="nil"/>
              <w:tr2bl w:val="nil"/>
            </w:tcBorders>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《石油化工可燃气体和有毒气体检测报警设计标准》3.0.7</w:t>
            </w:r>
          </w:p>
        </w:tc>
        <w:tc>
          <w:tcPr>
            <w:tcW w:w="2490"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配备便携式气体探测器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可燃气体和有毒气体检测报警系统应独立于其他系统单独设置。</w:t>
            </w:r>
          </w:p>
        </w:tc>
        <w:tc>
          <w:tcPr>
            <w:tcW w:w="709"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559"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《石油化工可燃气体和有毒气体检测报警设计标准》3.0.8</w:t>
            </w:r>
          </w:p>
        </w:tc>
        <w:tc>
          <w:tcPr>
            <w:tcW w:w="2490"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有毒气体检测报警系统独立于其他系统设置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下列可能泄漏可燃气体、有毒气体的主要释放源应设置监测点：</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 气体压缩机和液体泵的动密封；</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2液体采样口和气体采样口；</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3液体排液（水）口和放空口；</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4设备和管道的法兰和阀门组。</w:t>
            </w:r>
          </w:p>
        </w:tc>
        <w:tc>
          <w:tcPr>
            <w:tcW w:w="709"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559"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《石油化工可燃气体和有毒气体检测报警设计标准》4.1.2</w:t>
            </w:r>
          </w:p>
        </w:tc>
        <w:tc>
          <w:tcPr>
            <w:tcW w:w="2490" w:type="dxa"/>
            <w:tcBorders>
              <w:tl2br w:val="nil"/>
              <w:tr2bl w:val="nil"/>
            </w:tcBorders>
            <w:vAlign w:val="center"/>
          </w:tcPr>
          <w:p>
            <w:pPr>
              <w:spacing w:line="240" w:lineRule="auto"/>
              <w:rPr>
                <w:rFonts w:hint="default" w:ascii="Times New Roman" w:hAnsi="Times New Roman" w:cs="Times New Roman"/>
                <w:sz w:val="20"/>
                <w:szCs w:val="20"/>
              </w:rPr>
            </w:pPr>
            <w:r>
              <w:rPr>
                <w:rFonts w:hint="default" w:ascii="Times New Roman" w:hAnsi="Times New Roman" w:cs="Times New Roman"/>
                <w:sz w:val="21"/>
                <w:szCs w:val="21"/>
              </w:rPr>
              <w:t>设置监测点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探测器应安装在无冲击、无振动、无强电磁场干扰、易于检修的场所，探测器安装地点与周边工艺管道或设备之间的净空不应小于0.5m。</w:t>
            </w:r>
          </w:p>
        </w:tc>
        <w:tc>
          <w:tcPr>
            <w:tcW w:w="709"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559"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《石油化工可燃气体和有毒气体检测报警设计标准》6.1.1</w:t>
            </w:r>
          </w:p>
        </w:tc>
        <w:tc>
          <w:tcPr>
            <w:tcW w:w="2490"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不小于0.5m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检测比空气重的可燃气体或有毒气体时，探测器的安装高度宜距地坪（或楼地板）0.3m~0.6m；检测比空气轻的可燃气体或有毒气体时，探测器的安装高度宜在释放源上方2.0m内。检测比空气略重的可燃气体或有毒气体时，探测器的安装高度宜在释放源下方0.5m~1.0m；检测比空气略轻的可燃气体或有毒气体时，探测器的安装高度宜高出释放源0.5m~1.0m。</w:t>
            </w:r>
          </w:p>
        </w:tc>
        <w:tc>
          <w:tcPr>
            <w:tcW w:w="709"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不</w:t>
            </w:r>
            <w:r>
              <w:rPr>
                <w:rFonts w:hint="default" w:ascii="Times New Roman" w:hAnsi="Times New Roman" w:cs="Times New Roman"/>
                <w:sz w:val="21"/>
                <w:szCs w:val="21"/>
              </w:rPr>
              <w:t>符合</w:t>
            </w:r>
          </w:p>
        </w:tc>
        <w:tc>
          <w:tcPr>
            <w:tcW w:w="1559"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《石油化工可燃气体和有毒气体检测报警设计标准》6.1.2</w:t>
            </w:r>
          </w:p>
        </w:tc>
        <w:tc>
          <w:tcPr>
            <w:tcW w:w="2490"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201原料罐区有毒气体检测报警器不能覆盖所有释放源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检(探)测器应安装在无冲击、无振动、无强电磁场干扰、易于检修的场所，安装探头的地点与周边管线或设备之间应留有不小于0.5m 的净空和出入通道。</w:t>
            </w:r>
          </w:p>
        </w:tc>
        <w:tc>
          <w:tcPr>
            <w:tcW w:w="709"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559" w:type="dxa"/>
            <w:tcBorders>
              <w:tl2br w:val="nil"/>
              <w:tr2bl w:val="nil"/>
            </w:tcBorders>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《石油化工可燃气体和有毒气体检测报警设计标准》6.1.3</w:t>
            </w:r>
          </w:p>
        </w:tc>
        <w:tc>
          <w:tcPr>
            <w:tcW w:w="2490" w:type="dxa"/>
            <w:tcBorders>
              <w:tl2br w:val="nil"/>
              <w:tr2bl w:val="nil"/>
            </w:tcBorders>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检(探)测器安装在无冲击、无振动、易于检修的场所，安装探头的地点与周边管线或设备之间留有不小于0.5m 的净空和出入通道。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9" w:type="dxa"/>
            <w:gridSpan w:val="5"/>
            <w:tcBorders>
              <w:tl2br w:val="nil"/>
              <w:tr2bl w:val="nil"/>
            </w:tcBorders>
            <w:vAlign w:val="center"/>
          </w:tcPr>
          <w:p>
            <w:pPr>
              <w:pStyle w:val="70"/>
              <w:spacing w:before="0" w:beforeAutospacing="0" w:after="0" w:afterAutospacing="0" w:line="240" w:lineRule="auto"/>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防雷、防静电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装置在爆炸、火灾危险场所内可能产生静电危险的金属设备、管道等应设置静电接地，不允许设备及设备内部件有与地相绝缘的金属体。非导体设备、管道等应采用间接接地或静电屏蔽方法，屏蔽体应可靠接地</w:t>
            </w:r>
          </w:p>
        </w:tc>
        <w:tc>
          <w:tcPr>
            <w:tcW w:w="70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《化工企业安全卫生设计规范》4.2.4</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eastAsia="宋体" w:cs="Times New Roman"/>
                <w:kern w:val="2"/>
                <w:sz w:val="21"/>
                <w:szCs w:val="21"/>
                <w:lang w:eastAsia="zh-CN"/>
              </w:rPr>
            </w:pPr>
            <w:r>
              <w:rPr>
                <w:rFonts w:hint="default" w:ascii="Times New Roman" w:hAnsi="Times New Roman" w:cs="Times New Roman"/>
                <w:kern w:val="2"/>
                <w:sz w:val="21"/>
                <w:szCs w:val="21"/>
                <w:lang w:val="en-US" w:eastAsia="zh-CN"/>
              </w:rPr>
              <w:t>不涉及爆炸、火灾危险场所。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可能产生静电危害的工作场所，应配置个人防静电防护用品。重点防火、防爆作业区的人口处，应设计人体导除静电装置。</w:t>
            </w:r>
          </w:p>
        </w:tc>
        <w:tc>
          <w:tcPr>
            <w:tcW w:w="70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《化工企业安全卫生设计规范》4.2.10</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不涉及爆炸、火灾危险场所。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正常不带电而亊故时可能带电的配电装置及电气设备外露可导电部分，均应按现行国家标准《交流电气装置的接地设计规范GB T 50065的要求设置接地装置。</w:t>
            </w:r>
          </w:p>
        </w:tc>
        <w:tc>
          <w:tcPr>
            <w:tcW w:w="70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《化工企业安全卫生设计规范》4.4.1</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按现行国家标准的要求设置接地装置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9" w:type="dxa"/>
            <w:gridSpan w:val="5"/>
            <w:tcBorders>
              <w:tl2br w:val="nil"/>
              <w:tr2bl w:val="nil"/>
            </w:tcBorders>
            <w:vAlign w:val="center"/>
          </w:tcPr>
          <w:p>
            <w:pPr>
              <w:pStyle w:val="70"/>
              <w:spacing w:before="0" w:beforeAutospacing="0" w:after="0" w:afterAutospacing="0" w:line="240" w:lineRule="auto"/>
              <w:rPr>
                <w:rFonts w:hint="default" w:ascii="Times New Roman" w:hAnsi="Times New Roman" w:cs="Times New Roman"/>
                <w:b/>
                <w:bCs/>
                <w:kern w:val="2"/>
                <w:sz w:val="21"/>
                <w:szCs w:val="21"/>
                <w:lang w:eastAsia="zh-CN"/>
              </w:rPr>
            </w:pPr>
            <w:r>
              <w:rPr>
                <w:rFonts w:hint="default" w:ascii="Times New Roman" w:hAnsi="Times New Roman" w:cs="Times New Roman"/>
                <w:b/>
                <w:bCs/>
                <w:kern w:val="2"/>
                <w:sz w:val="21"/>
                <w:szCs w:val="21"/>
                <w:lang w:eastAsia="zh-CN"/>
              </w:rPr>
              <w:t>防毒防窒息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不得采用明渠排放含有挥发性毒物的废水、废液。</w:t>
            </w:r>
          </w:p>
        </w:tc>
        <w:tc>
          <w:tcPr>
            <w:tcW w:w="709" w:type="dxa"/>
            <w:tcBorders>
              <w:tl2br w:val="nil"/>
              <w:tr2bl w:val="nil"/>
            </w:tcBorders>
            <w:vAlign w:val="center"/>
          </w:tcPr>
          <w:p>
            <w:pPr>
              <w:spacing w:line="240" w:lineRule="auto"/>
              <w:rPr>
                <w:rFonts w:hint="default" w:ascii="Times New Roman" w:hAnsi="Times New Roman" w:cs="Times New Roman"/>
                <w:sz w:val="20"/>
                <w:szCs w:val="20"/>
              </w:rPr>
            </w:pPr>
            <w:r>
              <w:rPr>
                <w:rFonts w:hint="default" w:ascii="Times New Roman" w:hAnsi="Times New Roman" w:cs="Times New Roman"/>
                <w:sz w:val="21"/>
                <w:szCs w:val="21"/>
              </w:rPr>
              <w:t>符合要求</w:t>
            </w:r>
          </w:p>
        </w:tc>
        <w:tc>
          <w:tcPr>
            <w:tcW w:w="1559" w:type="dxa"/>
            <w:tcBorders>
              <w:tl2br w:val="nil"/>
              <w:tr2bl w:val="nil"/>
            </w:tcBorders>
            <w:vAlign w:val="center"/>
          </w:tcPr>
          <w:p>
            <w:pPr>
              <w:spacing w:line="240" w:lineRule="auto"/>
              <w:rPr>
                <w:rFonts w:hint="default" w:ascii="Times New Roman" w:hAnsi="Times New Roman" w:cs="Times New Roman"/>
                <w:sz w:val="20"/>
                <w:szCs w:val="20"/>
              </w:rPr>
            </w:pPr>
            <w:r>
              <w:rPr>
                <w:rFonts w:hint="default" w:ascii="Times New Roman" w:hAnsi="Times New Roman" w:cs="Times New Roman"/>
                <w:sz w:val="21"/>
                <w:szCs w:val="21"/>
              </w:rPr>
              <w:t>《石油化工企业职业安全卫生设计规范》2.7.4</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未采用明渠排放含有挥发性毒物的废水、废液。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输送生产用有毒物料、腐蚀性介质和污水等的管道不得穿越居住区或人员集中的生产管理区。</w:t>
            </w:r>
          </w:p>
        </w:tc>
        <w:tc>
          <w:tcPr>
            <w:tcW w:w="709" w:type="dxa"/>
            <w:tcBorders>
              <w:tl2br w:val="nil"/>
              <w:tr2bl w:val="nil"/>
            </w:tcBorders>
            <w:vAlign w:val="center"/>
          </w:tcPr>
          <w:p>
            <w:pPr>
              <w:spacing w:line="240" w:lineRule="auto"/>
              <w:rPr>
                <w:rFonts w:hint="default" w:ascii="Times New Roman" w:hAnsi="Times New Roman" w:cs="Times New Roman"/>
                <w:sz w:val="20"/>
                <w:szCs w:val="20"/>
              </w:rPr>
            </w:pPr>
            <w:r>
              <w:rPr>
                <w:rFonts w:hint="default" w:ascii="Times New Roman" w:hAnsi="Times New Roman" w:cs="Times New Roman"/>
                <w:sz w:val="21"/>
                <w:szCs w:val="21"/>
              </w:rPr>
              <w:t>符合要求</w:t>
            </w:r>
          </w:p>
        </w:tc>
        <w:tc>
          <w:tcPr>
            <w:tcW w:w="1559" w:type="dxa"/>
            <w:tcBorders>
              <w:tl2br w:val="nil"/>
              <w:tr2bl w:val="nil"/>
            </w:tcBorders>
            <w:vAlign w:val="center"/>
          </w:tcPr>
          <w:p>
            <w:pPr>
              <w:spacing w:line="240" w:lineRule="auto"/>
              <w:rPr>
                <w:rFonts w:hint="default" w:ascii="Times New Roman" w:hAnsi="Times New Roman" w:cs="Times New Roman"/>
                <w:sz w:val="20"/>
                <w:szCs w:val="20"/>
              </w:rPr>
            </w:pPr>
            <w:r>
              <w:rPr>
                <w:rFonts w:hint="default" w:ascii="Times New Roman" w:hAnsi="Times New Roman" w:cs="Times New Roman"/>
                <w:sz w:val="21"/>
                <w:szCs w:val="21"/>
              </w:rPr>
              <w:t>《石油化工企业职业安全卫生设计规范》2.7.4</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无有毒物料、腐蚀性介质和污水等的管道穿越居住区或人员集中的生产管理区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化工装置安全标志应按现行国家标准《安全标志及其使用导则》GB 2894执行，职业病危害警示标识应按现行国家标准《工作场所职业病危害警示标识》G13Z 158执行。安全标志和职业病危害警示标识宜联合设置。</w:t>
            </w:r>
          </w:p>
        </w:tc>
        <w:tc>
          <w:tcPr>
            <w:tcW w:w="709" w:type="dxa"/>
            <w:tcBorders>
              <w:tl2br w:val="nil"/>
              <w:tr2bl w:val="nil"/>
            </w:tcBorders>
            <w:vAlign w:val="center"/>
          </w:tcPr>
          <w:p>
            <w:pPr>
              <w:spacing w:line="240" w:lineRule="auto"/>
              <w:rPr>
                <w:rFonts w:hint="default" w:ascii="Times New Roman" w:hAnsi="Times New Roman" w:cs="Times New Roman"/>
                <w:sz w:val="20"/>
                <w:szCs w:val="20"/>
              </w:rPr>
            </w:pPr>
            <w:r>
              <w:rPr>
                <w:rFonts w:hint="default" w:ascii="Times New Roman" w:hAnsi="Times New Roman" w:cs="Times New Roman"/>
                <w:sz w:val="21"/>
                <w:szCs w:val="21"/>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《化工企业安全卫生设计规范》6.2.1</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设安全标志和职业危害警示标志牌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在有毒、有害的化工生产区域，应设置风向标。</w:t>
            </w:r>
          </w:p>
        </w:tc>
        <w:tc>
          <w:tcPr>
            <w:tcW w:w="709" w:type="dxa"/>
            <w:tcBorders>
              <w:tl2br w:val="nil"/>
              <w:tr2bl w:val="nil"/>
            </w:tcBorders>
            <w:vAlign w:val="center"/>
          </w:tcPr>
          <w:p>
            <w:pPr>
              <w:spacing w:line="240" w:lineRule="auto"/>
              <w:rPr>
                <w:rFonts w:hint="default" w:ascii="Times New Roman" w:hAnsi="Times New Roman" w:cs="Times New Roman"/>
                <w:sz w:val="20"/>
                <w:szCs w:val="20"/>
              </w:rPr>
            </w:pPr>
            <w:r>
              <w:rPr>
                <w:rFonts w:hint="default" w:ascii="Times New Roman" w:hAnsi="Times New Roman" w:cs="Times New Roman"/>
                <w:sz w:val="21"/>
                <w:szCs w:val="21"/>
              </w:rPr>
              <w:t>符合要求</w:t>
            </w:r>
          </w:p>
        </w:tc>
        <w:tc>
          <w:tcPr>
            <w:tcW w:w="1559"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《化工企业安全卫生设计规范》6.2.3</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设置风向标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存在或可能产生职业病危害的生产车间、设备应按照GBZ158设置职业病危害警示标识。</w:t>
            </w:r>
          </w:p>
        </w:tc>
        <w:tc>
          <w:tcPr>
            <w:tcW w:w="709" w:type="dxa"/>
            <w:tcBorders>
              <w:tl2br w:val="nil"/>
              <w:tr2bl w:val="nil"/>
            </w:tcBorders>
            <w:vAlign w:val="center"/>
          </w:tcPr>
          <w:p>
            <w:pPr>
              <w:spacing w:line="240" w:lineRule="auto"/>
              <w:rPr>
                <w:rFonts w:hint="default" w:ascii="Times New Roman" w:hAnsi="Times New Roman" w:cs="Times New Roman"/>
                <w:sz w:val="20"/>
                <w:szCs w:val="20"/>
              </w:rPr>
            </w:pPr>
            <w:r>
              <w:rPr>
                <w:rFonts w:hint="default" w:ascii="Times New Roman" w:hAnsi="Times New Roman" w:cs="Times New Roman"/>
                <w:sz w:val="21"/>
                <w:szCs w:val="21"/>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《工业企业设计卫生标准》5.2.1.6</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设置职业病危害警示标识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应结合生产工艺和毒物特性，在有可能发生急性职业中毒的工作场所，根据自动报警装置技术发展水平设计自动报警或检测装置。</w:t>
            </w:r>
          </w:p>
        </w:tc>
        <w:tc>
          <w:tcPr>
            <w:tcW w:w="709" w:type="dxa"/>
            <w:tcBorders>
              <w:tl2br w:val="nil"/>
              <w:tr2bl w:val="nil"/>
            </w:tcBorders>
            <w:vAlign w:val="center"/>
          </w:tcPr>
          <w:p>
            <w:pPr>
              <w:spacing w:line="240" w:lineRule="auto"/>
              <w:rPr>
                <w:rFonts w:hint="default" w:ascii="Times New Roman" w:hAnsi="Times New Roman" w:cs="Times New Roman"/>
                <w:sz w:val="20"/>
                <w:szCs w:val="20"/>
              </w:rPr>
            </w:pPr>
            <w:r>
              <w:rPr>
                <w:rFonts w:hint="default" w:ascii="Times New Roman" w:hAnsi="Times New Roman" w:cs="Times New Roman"/>
                <w:sz w:val="21"/>
                <w:szCs w:val="21"/>
              </w:rPr>
              <w:t>符合要求</w:t>
            </w:r>
          </w:p>
        </w:tc>
        <w:tc>
          <w:tcPr>
            <w:tcW w:w="1559" w:type="dxa"/>
            <w:tcBorders>
              <w:tl2br w:val="nil"/>
              <w:tr2bl w:val="nil"/>
            </w:tcBorders>
            <w:vAlign w:val="center"/>
          </w:tcPr>
          <w:p>
            <w:pPr>
              <w:spacing w:line="240" w:lineRule="auto"/>
              <w:rPr>
                <w:rFonts w:hint="default" w:ascii="Times New Roman" w:hAnsi="Times New Roman" w:cs="Times New Roman"/>
                <w:sz w:val="20"/>
                <w:szCs w:val="20"/>
              </w:rPr>
            </w:pPr>
            <w:r>
              <w:rPr>
                <w:rFonts w:hint="default" w:ascii="Times New Roman" w:hAnsi="Times New Roman" w:cs="Times New Roman"/>
                <w:sz w:val="21"/>
                <w:szCs w:val="21"/>
              </w:rPr>
              <w:t>《工业企业设计卫生标准》6.1.6</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设自动报警或检测装置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在 液体 毒 性 危害 严重 的 作业 场所 ，应设计洗眼器、淋洗器等安全防护措施，淋洗器、洗眼器的服务半径应不大于15 m。</w:t>
            </w:r>
          </w:p>
        </w:tc>
        <w:tc>
          <w:tcPr>
            <w:tcW w:w="709" w:type="dxa"/>
            <w:tcBorders>
              <w:tl2br w:val="nil"/>
              <w:tr2bl w:val="nil"/>
            </w:tcBorders>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lang w:val="en-US" w:eastAsia="zh-CN"/>
              </w:rPr>
            </w:pPr>
            <w:r>
              <w:rPr>
                <w:rFonts w:hint="eastAsia" w:ascii="Times New Roman" w:hAnsi="Times New Roman" w:cs="Times New Roman"/>
                <w:kern w:val="2"/>
                <w:sz w:val="21"/>
                <w:szCs w:val="21"/>
                <w:lang w:val="en-US" w:eastAsia="zh-CN"/>
              </w:rPr>
              <w:t>符合要求</w:t>
            </w:r>
          </w:p>
        </w:tc>
        <w:tc>
          <w:tcPr>
            <w:tcW w:w="1559" w:type="dxa"/>
            <w:tcBorders>
              <w:tl2br w:val="nil"/>
              <w:tr2bl w:val="nil"/>
            </w:tcBorders>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《化工企业安全卫生设计规范》5.1.6</w:t>
            </w:r>
          </w:p>
        </w:tc>
        <w:tc>
          <w:tcPr>
            <w:tcW w:w="2490"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lang w:val="en-US" w:eastAsia="zh-CN"/>
              </w:rPr>
            </w:pPr>
            <w:r>
              <w:rPr>
                <w:rFonts w:hint="default" w:ascii="Times New Roman" w:hAnsi="Times New Roman" w:cs="Times New Roman"/>
                <w:kern w:val="2"/>
                <w:sz w:val="21"/>
                <w:szCs w:val="21"/>
                <w:lang w:eastAsia="zh-CN"/>
              </w:rPr>
              <w:t>设置了洗眼器、淋洗器等安全防护措施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9" w:type="dxa"/>
            <w:gridSpan w:val="5"/>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b/>
                <w:bCs/>
                <w:kern w:val="2"/>
                <w:sz w:val="21"/>
                <w:szCs w:val="21"/>
                <w:lang w:eastAsia="zh-CN"/>
              </w:rPr>
            </w:pPr>
            <w:r>
              <w:rPr>
                <w:rFonts w:hint="default" w:ascii="Times New Roman" w:hAnsi="Times New Roman" w:cs="Times New Roman"/>
                <w:b/>
                <w:bCs/>
                <w:kern w:val="2"/>
              </w:rPr>
              <w:t>防灼伤、噪声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设计具有化学灼伤危害物质的生产过程时，应合理选择流程、设备和管道结构及材料，防止物料外泄或喷溅。</w:t>
            </w:r>
          </w:p>
        </w:tc>
        <w:tc>
          <w:tcPr>
            <w:tcW w:w="709" w:type="dxa"/>
            <w:tcBorders>
              <w:tl2br w:val="nil"/>
              <w:tr2bl w:val="nil"/>
            </w:tcBorders>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不</w:t>
            </w:r>
            <w:r>
              <w:rPr>
                <w:rFonts w:hint="default" w:ascii="Times New Roman" w:hAnsi="Times New Roman" w:cs="Times New Roman"/>
                <w:sz w:val="21"/>
                <w:szCs w:val="21"/>
              </w:rPr>
              <w:t>符合要求</w:t>
            </w:r>
          </w:p>
        </w:tc>
        <w:tc>
          <w:tcPr>
            <w:tcW w:w="1559" w:type="dxa"/>
            <w:tcBorders>
              <w:tl2br w:val="nil"/>
              <w:tr2bl w:val="nil"/>
            </w:tcBorders>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《化工企业安全卫生设计规范》5.6.1</w:t>
            </w:r>
          </w:p>
        </w:tc>
        <w:tc>
          <w:tcPr>
            <w:tcW w:w="2490" w:type="dxa"/>
            <w:tcBorders>
              <w:tl2br w:val="nil"/>
              <w:tr2bl w:val="nil"/>
            </w:tcBorders>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部分管线未设</w:t>
            </w:r>
            <w:r>
              <w:rPr>
                <w:rFonts w:hint="default" w:ascii="Times New Roman" w:hAnsi="Times New Roman" w:cs="Times New Roman"/>
                <w:sz w:val="21"/>
                <w:szCs w:val="21"/>
              </w:rPr>
              <w:t>防止物料外泄或喷溅</w:t>
            </w:r>
            <w:r>
              <w:rPr>
                <w:rFonts w:hint="default" w:ascii="Times New Roman" w:hAnsi="Times New Roman" w:cs="Times New Roman"/>
                <w:sz w:val="21"/>
                <w:szCs w:val="21"/>
                <w:lang w:val="en-US" w:eastAsia="zh-CN"/>
              </w:rPr>
              <w:t>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具有化学灼伤危害的作业应采用机械化、管进化和自动化，并安装必要的信号报警、安全联锁和保险装置，不得使用玻璃等易碎材料制成的管道、管件、阀门、流量计、压力计等。</w:t>
            </w:r>
          </w:p>
        </w:tc>
        <w:tc>
          <w:tcPr>
            <w:tcW w:w="709" w:type="dxa"/>
            <w:tcBorders>
              <w:tl2br w:val="nil"/>
              <w:tr2bl w:val="nil"/>
            </w:tcBorders>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559" w:type="dxa"/>
            <w:tcBorders>
              <w:tl2br w:val="nil"/>
              <w:tr2bl w:val="nil"/>
            </w:tcBorders>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《化工企业安全卫生设计规范》5.6.2</w:t>
            </w:r>
          </w:p>
        </w:tc>
        <w:tc>
          <w:tcPr>
            <w:tcW w:w="249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采用机械化、管进化和自动化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具有化学灼伤危险的生产装置，其设备布置应保证作业场所有足够空间，并保证作业场所畅通，避免交叉作业。如果交叉作业不可避免，在危险作业点应采取避免化学灼伤危险的防护措施。</w:t>
            </w:r>
          </w:p>
        </w:tc>
        <w:tc>
          <w:tcPr>
            <w:tcW w:w="709" w:type="dxa"/>
            <w:tcBorders>
              <w:tl2br w:val="nil"/>
              <w:tr2bl w:val="nil"/>
            </w:tcBorders>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559" w:type="dxa"/>
            <w:tcBorders>
              <w:tl2br w:val="nil"/>
              <w:tr2bl w:val="nil"/>
            </w:tcBorders>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《化工企业安全卫生设计规范》5.6.3</w:t>
            </w:r>
          </w:p>
        </w:tc>
        <w:tc>
          <w:tcPr>
            <w:tcW w:w="249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保证作业场所有足够空间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具有酸碱性腐蚀的作业区中的建（构）筑物的地面、墙壁、设备基础，应进行防腐处理。建筑防腐按现行国家标准《建筑防腐浊工程施工及验收规范》GB 50212的规定执行。</w:t>
            </w:r>
          </w:p>
        </w:tc>
        <w:tc>
          <w:tcPr>
            <w:tcW w:w="709" w:type="dxa"/>
            <w:tcBorders>
              <w:tl2br w:val="nil"/>
              <w:tr2bl w:val="nil"/>
            </w:tcBorders>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不</w:t>
            </w:r>
            <w:r>
              <w:rPr>
                <w:rFonts w:hint="default" w:ascii="Times New Roman" w:hAnsi="Times New Roman" w:cs="Times New Roman"/>
                <w:sz w:val="21"/>
                <w:szCs w:val="21"/>
              </w:rPr>
              <w:t>符合要求</w:t>
            </w:r>
          </w:p>
        </w:tc>
        <w:tc>
          <w:tcPr>
            <w:tcW w:w="1559" w:type="dxa"/>
            <w:tcBorders>
              <w:tl2br w:val="nil"/>
              <w:tr2bl w:val="nil"/>
            </w:tcBorders>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《化工企业安全卫生设计规范》5.6.4</w:t>
            </w:r>
          </w:p>
        </w:tc>
        <w:tc>
          <w:tcPr>
            <w:tcW w:w="249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101生产车间的地面腐蚀严重，未进行</w:t>
            </w:r>
            <w:r>
              <w:rPr>
                <w:rFonts w:hint="default" w:ascii="Times New Roman" w:hAnsi="Times New Roman" w:cs="Times New Roman"/>
                <w:sz w:val="21"/>
                <w:szCs w:val="21"/>
              </w:rPr>
              <w:t>防腐处理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19" w:type="dxa"/>
            <w:gridSpan w:val="5"/>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b/>
                <w:bCs/>
                <w:kern w:val="2"/>
                <w:sz w:val="21"/>
                <w:szCs w:val="21"/>
                <w:lang w:eastAsia="zh-CN"/>
              </w:rPr>
            </w:pPr>
            <w:r>
              <w:rPr>
                <w:rFonts w:hint="default" w:ascii="Times New Roman" w:hAnsi="Times New Roman" w:cs="Times New Roman"/>
                <w:b/>
                <w:bCs/>
                <w:kern w:val="2"/>
                <w:sz w:val="21"/>
                <w:szCs w:val="21"/>
                <w:lang w:eastAsia="zh-CN"/>
              </w:rPr>
              <w:t>防机械伤害、坠落等意外伤害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化工装置内有发生坠落危险的操作岗位时，应设计用于操作、巡检和维修作业的扶梯、平台、围栏等附属设施。扶梯、平台和栏杆应符合现行国家标准《固定式钢梯及平台》的规定。</w:t>
            </w:r>
          </w:p>
        </w:tc>
        <w:tc>
          <w:tcPr>
            <w:tcW w:w="709"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rPr>
            </w:pPr>
            <w:r>
              <w:rPr>
                <w:rFonts w:hint="default" w:ascii="Times New Roman" w:hAnsi="Times New Roman" w:cs="Times New Roman"/>
                <w:kern w:val="2"/>
                <w:sz w:val="21"/>
                <w:szCs w:val="21"/>
              </w:rPr>
              <w:t>符合要求</w:t>
            </w:r>
          </w:p>
        </w:tc>
        <w:tc>
          <w:tcPr>
            <w:tcW w:w="1559"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《化工企业安全卫生设计规范》4.6.1</w:t>
            </w:r>
          </w:p>
        </w:tc>
        <w:tc>
          <w:tcPr>
            <w:tcW w:w="2490"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设有用于操作、巡检和维修作业的扶梯、平台、围栏等附属设施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高速旋转或往复运动的机械零部件位置应设计可靠的防护设施、挡板或安全围栏。</w:t>
            </w:r>
          </w:p>
        </w:tc>
        <w:tc>
          <w:tcPr>
            <w:tcW w:w="709"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rPr>
            </w:pPr>
            <w:r>
              <w:rPr>
                <w:rFonts w:hint="default" w:ascii="Times New Roman" w:hAnsi="Times New Roman" w:cs="Times New Roman"/>
                <w:kern w:val="2"/>
                <w:sz w:val="21"/>
                <w:szCs w:val="21"/>
              </w:rPr>
              <w:t>符合要求</w:t>
            </w:r>
          </w:p>
        </w:tc>
        <w:tc>
          <w:tcPr>
            <w:tcW w:w="1559"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《化工企业安全卫生设计规范》4.6.2</w:t>
            </w:r>
          </w:p>
        </w:tc>
        <w:tc>
          <w:tcPr>
            <w:tcW w:w="2490"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rPr>
            </w:pPr>
            <w:r>
              <w:rPr>
                <w:rFonts w:hint="default" w:ascii="Times New Roman" w:hAnsi="Times New Roman" w:cs="Times New Roman"/>
                <w:kern w:val="2"/>
                <w:sz w:val="21"/>
                <w:szCs w:val="21"/>
              </w:rPr>
              <w:t>设可靠的防护设施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人员易触及的可动零部件，应尽可能封闭或隔离。　　</w:t>
            </w:r>
          </w:p>
        </w:tc>
        <w:tc>
          <w:tcPr>
            <w:tcW w:w="709"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rPr>
            </w:pPr>
            <w:r>
              <w:rPr>
                <w:rFonts w:hint="default" w:ascii="Times New Roman" w:hAnsi="Times New Roman" w:cs="Times New Roman"/>
                <w:kern w:val="2"/>
                <w:sz w:val="21"/>
                <w:szCs w:val="21"/>
              </w:rPr>
              <w:t>符合要求</w:t>
            </w:r>
          </w:p>
        </w:tc>
        <w:tc>
          <w:tcPr>
            <w:tcW w:w="1559"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《生产设备安全卫生设计规定》6.1.1</w:t>
            </w:r>
          </w:p>
        </w:tc>
        <w:tc>
          <w:tcPr>
            <w:tcW w:w="2490"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rPr>
            </w:pPr>
            <w:r>
              <w:rPr>
                <w:rFonts w:hint="default" w:ascii="Times New Roman" w:hAnsi="Times New Roman" w:cs="Times New Roman"/>
                <w:kern w:val="2"/>
                <w:sz w:val="21"/>
                <w:szCs w:val="21"/>
              </w:rPr>
              <w:t>尽可能封闭或隔离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对操作人员在设备运行时可能触及的可动零部件，必须配置必要的安全防护装置。</w:t>
            </w:r>
          </w:p>
        </w:tc>
        <w:tc>
          <w:tcPr>
            <w:tcW w:w="709"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rPr>
            </w:pPr>
            <w:r>
              <w:rPr>
                <w:rFonts w:hint="default" w:ascii="Times New Roman" w:hAnsi="Times New Roman" w:cs="Times New Roman"/>
                <w:kern w:val="2"/>
                <w:sz w:val="21"/>
                <w:szCs w:val="21"/>
              </w:rPr>
              <w:t>符合要求</w:t>
            </w:r>
          </w:p>
        </w:tc>
        <w:tc>
          <w:tcPr>
            <w:tcW w:w="1559"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《生产设备安全卫生设计规定》6.1.2</w:t>
            </w:r>
          </w:p>
        </w:tc>
        <w:tc>
          <w:tcPr>
            <w:tcW w:w="2490" w:type="dxa"/>
            <w:tcBorders>
              <w:tl2br w:val="nil"/>
              <w:tr2bl w:val="nil"/>
            </w:tcBorders>
            <w:vAlign w:val="center"/>
          </w:tcPr>
          <w:p>
            <w:pPr>
              <w:pStyle w:val="70"/>
              <w:keepNext w:val="0"/>
              <w:keepLines w:val="0"/>
              <w:pageBreakBefore w:val="0"/>
              <w:kinsoku/>
              <w:wordWrap/>
              <w:overflowPunct/>
              <w:topLinePunct w:val="0"/>
              <w:autoSpaceDE/>
              <w:autoSpaceDN/>
              <w:bidi w:val="0"/>
              <w:adjustRightInd/>
              <w:snapToGrid/>
              <w:spacing w:before="0" w:beforeAutospacing="0" w:after="0" w:afterAutospacing="0" w:line="400" w:lineRule="exact"/>
              <w:textAlignment w:val="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设备配置必要的安全防护装置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以操作人员的操作位置所在平面为基准，凡高度在2m之内的所有传动带、转轴、传动链、联轴节、带轮、齿轮、飞轮、链轮、电锯等外露危险零部件及危险部位，都必须设置安全防护装置。</w:t>
            </w:r>
          </w:p>
        </w:tc>
        <w:tc>
          <w:tcPr>
            <w:tcW w:w="70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《生产设备安全卫生设计规定》6.1.6</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设置防护罩等安全防护装置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距下方相邻地板或地面1.2m及以上的平台、通道或工作面的所有敞开边缘应设置防护栏杆</w:t>
            </w:r>
          </w:p>
        </w:tc>
        <w:tc>
          <w:tcPr>
            <w:tcW w:w="70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《固定式钢梯及平台安全要求 第3部分：工业防护栏杆及钢平台》4.1.1</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该项目平台、通道及工作面的所有敞开边缘均设置防护栏杆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9" w:type="dxa"/>
            <w:gridSpan w:val="5"/>
            <w:tcBorders>
              <w:tl2br w:val="nil"/>
              <w:tr2bl w:val="nil"/>
            </w:tcBorders>
            <w:vAlign w:val="center"/>
          </w:tcPr>
          <w:p>
            <w:pPr>
              <w:pStyle w:val="70"/>
              <w:spacing w:before="0" w:beforeAutospacing="0" w:after="0" w:afterAutospacing="0" w:line="240" w:lineRule="auto"/>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表面温度超过60℃的设备和管道，在下列范围内应设防烫伤隔热层：</w:t>
            </w:r>
          </w:p>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距地面或工作台高度2.1m以内者；</w:t>
            </w:r>
          </w:p>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距操作平台周围0.75m以内者。</w:t>
            </w:r>
          </w:p>
        </w:tc>
        <w:tc>
          <w:tcPr>
            <w:tcW w:w="709" w:type="dxa"/>
            <w:tcBorders>
              <w:tl2br w:val="nil"/>
              <w:tr2bl w:val="nil"/>
            </w:tcBorders>
            <w:vAlign w:val="center"/>
          </w:tcPr>
          <w:p>
            <w:pPr>
              <w:spacing w:line="240" w:lineRule="auto"/>
              <w:rPr>
                <w:rFonts w:hint="default" w:ascii="Times New Roman" w:hAnsi="Times New Roman" w:cs="Times New Roman"/>
                <w:sz w:val="20"/>
                <w:szCs w:val="20"/>
              </w:rPr>
            </w:pPr>
            <w:r>
              <w:rPr>
                <w:rFonts w:hint="default" w:ascii="Times New Roman" w:hAnsi="Times New Roman" w:cs="Times New Roman"/>
                <w:sz w:val="21"/>
                <w:szCs w:val="21"/>
              </w:rPr>
              <w:t>符合要求</w:t>
            </w:r>
          </w:p>
        </w:tc>
        <w:tc>
          <w:tcPr>
            <w:tcW w:w="1559"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《石油化工企业职业安全卫生设计规范》2.10.6</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高温设备设置防烫伤隔热层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应选用低噪声的设备，必要时可采取消声、隔声、吸声、隔振或综合控制措施。</w:t>
            </w:r>
          </w:p>
        </w:tc>
        <w:tc>
          <w:tcPr>
            <w:tcW w:w="709" w:type="dxa"/>
            <w:tcBorders>
              <w:tl2br w:val="nil"/>
              <w:tr2bl w:val="nil"/>
            </w:tcBorders>
            <w:vAlign w:val="center"/>
          </w:tcPr>
          <w:p>
            <w:pPr>
              <w:spacing w:line="240" w:lineRule="auto"/>
              <w:rPr>
                <w:rFonts w:hint="default" w:ascii="Times New Roman" w:hAnsi="Times New Roman" w:cs="Times New Roman"/>
                <w:sz w:val="20"/>
                <w:szCs w:val="20"/>
              </w:rPr>
            </w:pPr>
            <w:r>
              <w:rPr>
                <w:rFonts w:hint="default" w:ascii="Times New Roman" w:hAnsi="Times New Roman" w:cs="Times New Roman"/>
                <w:sz w:val="21"/>
                <w:szCs w:val="21"/>
              </w:rPr>
              <w:t>符合要求</w:t>
            </w:r>
          </w:p>
        </w:tc>
        <w:tc>
          <w:tcPr>
            <w:tcW w:w="1559" w:type="dxa"/>
            <w:tcBorders>
              <w:tl2br w:val="nil"/>
              <w:tr2bl w:val="nil"/>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《石油化工企业职业安全卫生设计规范》2.12.3</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用低噪声的设备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管道设计与调节阀的选型应做到防止振动和噪声，管道截面不宜突变；管道与强烈振动的设备连接处应具有一定的柔性。</w:t>
            </w:r>
          </w:p>
        </w:tc>
        <w:tc>
          <w:tcPr>
            <w:tcW w:w="709" w:type="dxa"/>
            <w:tcBorders>
              <w:tl2br w:val="nil"/>
              <w:tr2bl w:val="nil"/>
            </w:tcBorders>
            <w:vAlign w:val="center"/>
          </w:tcPr>
          <w:p>
            <w:pPr>
              <w:spacing w:line="240" w:lineRule="auto"/>
              <w:rPr>
                <w:rFonts w:hint="default" w:ascii="Times New Roman" w:hAnsi="Times New Roman" w:cs="Times New Roman"/>
                <w:sz w:val="20"/>
                <w:szCs w:val="20"/>
              </w:rPr>
            </w:pPr>
            <w:r>
              <w:rPr>
                <w:rFonts w:hint="default" w:ascii="Times New Roman" w:hAnsi="Times New Roman" w:cs="Times New Roman"/>
                <w:sz w:val="21"/>
                <w:szCs w:val="21"/>
              </w:rPr>
              <w:t>符合要求</w:t>
            </w:r>
          </w:p>
        </w:tc>
        <w:tc>
          <w:tcPr>
            <w:tcW w:w="1559" w:type="dxa"/>
            <w:tcBorders>
              <w:tl2br w:val="nil"/>
              <w:tr2bl w:val="nil"/>
            </w:tcBorders>
            <w:vAlign w:val="center"/>
          </w:tcPr>
          <w:p>
            <w:pPr>
              <w:spacing w:line="240" w:lineRule="auto"/>
              <w:rPr>
                <w:rFonts w:hint="default" w:ascii="Times New Roman" w:hAnsi="Times New Roman" w:cs="Times New Roman"/>
                <w:sz w:val="20"/>
                <w:szCs w:val="20"/>
              </w:rPr>
            </w:pPr>
            <w:r>
              <w:rPr>
                <w:rFonts w:hint="default" w:ascii="Times New Roman" w:hAnsi="Times New Roman" w:cs="Times New Roman"/>
                <w:sz w:val="21"/>
                <w:szCs w:val="21"/>
              </w:rPr>
              <w:t>《石油化工企业职业安全卫生设计规范》2.12.4</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做到防止振动和噪声，管道截面未突变；管道与强烈振动的设备连接处具有一定的柔性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化工装置安全标志应按现行国家标准《安全标志及其使用导则》GB 2894执行，职业病危害警示标识应按现行国家标准《工作场所职业病危害赘示标识》G13Z 158执行。安全标志和职业病危害警示标识宜联合设置。</w:t>
            </w:r>
          </w:p>
        </w:tc>
        <w:tc>
          <w:tcPr>
            <w:tcW w:w="709" w:type="dxa"/>
            <w:tcBorders>
              <w:tl2br w:val="nil"/>
              <w:tr2bl w:val="nil"/>
            </w:tcBorders>
            <w:vAlign w:val="center"/>
          </w:tcPr>
          <w:p>
            <w:pPr>
              <w:spacing w:line="240" w:lineRule="auto"/>
              <w:rPr>
                <w:rFonts w:hint="default" w:ascii="Times New Roman" w:hAnsi="Times New Roman" w:cs="Times New Roman"/>
                <w:sz w:val="20"/>
                <w:szCs w:val="20"/>
              </w:rPr>
            </w:pPr>
            <w:r>
              <w:rPr>
                <w:rFonts w:hint="default" w:ascii="Times New Roman" w:hAnsi="Times New Roman" w:cs="Times New Roman"/>
                <w:sz w:val="21"/>
                <w:szCs w:val="21"/>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《化工企业安全卫生设计规范》6.2.1</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设安全标志和职业病危害警示标识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vAlign w:val="center"/>
          </w:tcPr>
          <w:p>
            <w:pPr>
              <w:pStyle w:val="70"/>
              <w:numPr>
                <w:ilvl w:val="0"/>
                <w:numId w:val="27"/>
              </w:numPr>
              <w:spacing w:before="0" w:beforeAutospacing="0" w:after="0" w:afterAutospacing="0" w:line="240" w:lineRule="auto"/>
              <w:ind w:left="0" w:firstLine="0"/>
              <w:rPr>
                <w:rFonts w:hint="default" w:ascii="Times New Roman" w:hAnsi="Times New Roman" w:cs="Times New Roman"/>
                <w:kern w:val="2"/>
                <w:sz w:val="21"/>
                <w:szCs w:val="21"/>
                <w:lang w:eastAsia="zh-CN"/>
              </w:rPr>
            </w:pPr>
          </w:p>
        </w:tc>
        <w:tc>
          <w:tcPr>
            <w:tcW w:w="4332"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化工装置区、油库、罐区、化学危险品仓库等危险区应设置永久性“严禁烟火”标志。</w:t>
            </w:r>
          </w:p>
        </w:tc>
        <w:tc>
          <w:tcPr>
            <w:tcW w:w="70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符合要求</w:t>
            </w:r>
          </w:p>
        </w:tc>
        <w:tc>
          <w:tcPr>
            <w:tcW w:w="1559"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《化工企业安全卫生设计规范》6.2.2</w:t>
            </w:r>
          </w:p>
        </w:tc>
        <w:tc>
          <w:tcPr>
            <w:tcW w:w="2490" w:type="dxa"/>
            <w:tcBorders>
              <w:tl2br w:val="nil"/>
              <w:tr2bl w:val="nil"/>
            </w:tcBorders>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厂区设置 “严禁烟火”标志</w:t>
            </w:r>
          </w:p>
        </w:tc>
      </w:tr>
    </w:tbl>
    <w:p>
      <w:pPr>
        <w:ind w:firstLine="560" w:firstLineChars="200"/>
        <w:rPr>
          <w:rFonts w:hint="default" w:ascii="Times New Roman" w:hAnsi="Times New Roman" w:cs="Times New Roman"/>
        </w:rPr>
      </w:pPr>
      <w:r>
        <w:rPr>
          <w:rFonts w:hint="default" w:ascii="Times New Roman" w:hAnsi="Times New Roman" w:cs="Times New Roman"/>
        </w:rPr>
        <w:t>评价组根据</w:t>
      </w:r>
      <w:r>
        <w:rPr>
          <w:rFonts w:hint="default" w:ascii="Times New Roman" w:hAnsi="Times New Roman" w:cs="Times New Roman"/>
          <w:lang w:eastAsia="zh-CN"/>
        </w:rPr>
        <w:t>上饶市广氟医药化工有限公司</w:t>
      </w:r>
      <w:r>
        <w:rPr>
          <w:rFonts w:hint="default" w:ascii="Times New Roman" w:hAnsi="Times New Roman" w:cs="Times New Roman"/>
        </w:rPr>
        <w:t>所提供的资料和现场检查情况，对该公司的生产工艺装置单元情况评价小结如下：</w:t>
      </w:r>
    </w:p>
    <w:p>
      <w:pPr>
        <w:ind w:firstLine="560" w:firstLineChars="200"/>
        <w:rPr>
          <w:rFonts w:hint="default" w:ascii="Times New Roman" w:hAnsi="Times New Roman" w:cs="Times New Roman"/>
        </w:rPr>
      </w:pPr>
      <w:r>
        <w:rPr>
          <w:rFonts w:hint="default" w:ascii="Times New Roman" w:hAnsi="Times New Roman" w:cs="Times New Roman"/>
        </w:rPr>
        <w:t>1）该公司生产采用危害较小的工艺、技术、设备，不属于国家明令淘汰、禁止使用的工艺、设备。</w:t>
      </w:r>
    </w:p>
    <w:p>
      <w:pPr>
        <w:ind w:firstLine="560" w:firstLineChars="200"/>
        <w:rPr>
          <w:rFonts w:hint="default" w:ascii="Times New Roman" w:hAnsi="Times New Roman" w:cs="Times New Roman"/>
        </w:rPr>
      </w:pPr>
      <w:r>
        <w:rPr>
          <w:rFonts w:hint="default" w:ascii="Times New Roman" w:hAnsi="Times New Roman" w:cs="Times New Roman"/>
        </w:rPr>
        <w:t>2）作业场所设有安全通道和出口，门窗向外开启。</w:t>
      </w:r>
    </w:p>
    <w:p>
      <w:pPr>
        <w:ind w:firstLine="560" w:firstLineChars="200"/>
        <w:rPr>
          <w:rFonts w:hint="default" w:ascii="Times New Roman" w:hAnsi="Times New Roman" w:cs="Times New Roman"/>
        </w:rPr>
      </w:pPr>
      <w:r>
        <w:rPr>
          <w:rFonts w:hint="default" w:ascii="Times New Roman" w:hAnsi="Times New Roman" w:cs="Times New Roman"/>
        </w:rPr>
        <w:t>3）生产设备设有必要的安全防护装置。</w:t>
      </w:r>
    </w:p>
    <w:p>
      <w:pPr>
        <w:ind w:firstLine="560" w:firstLineChars="200"/>
        <w:rPr>
          <w:rFonts w:hint="default" w:ascii="Times New Roman" w:hAnsi="Times New Roman" w:cs="Times New Roman"/>
        </w:rPr>
      </w:pPr>
      <w:r>
        <w:rPr>
          <w:rFonts w:hint="default" w:ascii="Times New Roman" w:hAnsi="Times New Roman" w:cs="Times New Roman"/>
        </w:rPr>
        <w:t>4）设备布置可保证作业场所有足够空间，并保证作业场所畅通，避免交叉作业。</w:t>
      </w:r>
    </w:p>
    <w:p>
      <w:pPr>
        <w:ind w:firstLine="560" w:firstLineChars="200"/>
        <w:rPr>
          <w:rFonts w:hint="default" w:ascii="Times New Roman" w:hAnsi="Times New Roman" w:cs="Times New Roman"/>
        </w:rPr>
      </w:pPr>
      <w:r>
        <w:rPr>
          <w:rFonts w:hint="default" w:ascii="Times New Roman" w:hAnsi="Times New Roman" w:cs="Times New Roman"/>
        </w:rPr>
        <w:t>5）各生产车间设置有自然通风、机械排风。</w:t>
      </w:r>
    </w:p>
    <w:p>
      <w:pPr>
        <w:ind w:firstLine="560" w:firstLineChars="200"/>
        <w:rPr>
          <w:rFonts w:hint="default" w:ascii="Times New Roman" w:hAnsi="Times New Roman" w:cs="Times New Roman"/>
        </w:rPr>
      </w:pPr>
      <w:r>
        <w:rPr>
          <w:rFonts w:hint="default" w:ascii="Times New Roman" w:hAnsi="Times New Roman" w:cs="Times New Roman"/>
        </w:rPr>
        <w:t>6）企业根据设备运行情况，规定设备检修周期和维修标准，并严格执行；检修设备的施工单位制定了安全技术措施。</w:t>
      </w:r>
    </w:p>
    <w:p>
      <w:pPr>
        <w:ind w:firstLine="560" w:firstLineChars="200"/>
        <w:rPr>
          <w:rFonts w:hint="default" w:ascii="Times New Roman" w:hAnsi="Times New Roman" w:cs="Times New Roman"/>
        </w:rPr>
      </w:pPr>
      <w:r>
        <w:rPr>
          <w:rFonts w:hint="default" w:ascii="Times New Roman" w:hAnsi="Times New Roman" w:cs="Times New Roman"/>
        </w:rPr>
        <w:t>7）</w:t>
      </w:r>
      <w:r>
        <w:rPr>
          <w:rFonts w:hint="eastAsia" w:cs="Times New Roman"/>
          <w:lang w:eastAsia="zh-CN"/>
        </w:rPr>
        <w:t>对该单元进行了52项现场检查，5项不符合要求</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rPr>
        <w:t>①紧急通道和出入口未设置醒目的标志。</w:t>
      </w:r>
    </w:p>
    <w:p>
      <w:pPr>
        <w:ind w:firstLine="560" w:firstLineChars="200"/>
        <w:rPr>
          <w:rFonts w:hint="default" w:ascii="Times New Roman" w:hAnsi="Times New Roman" w:cs="Times New Roman"/>
        </w:rPr>
      </w:pPr>
      <w:r>
        <w:rPr>
          <w:rFonts w:hint="default" w:ascii="Times New Roman" w:hAnsi="Times New Roman" w:cs="Times New Roman"/>
        </w:rPr>
        <w:t>②未为操作人员提供自吸过滤式防毒面具。</w:t>
      </w:r>
    </w:p>
    <w:p>
      <w:pPr>
        <w:ind w:firstLine="560" w:firstLineChars="200"/>
        <w:rPr>
          <w:rFonts w:hint="default" w:ascii="Times New Roman" w:hAnsi="Times New Roman" w:cs="Times New Roman"/>
        </w:rPr>
      </w:pPr>
      <w:r>
        <w:rPr>
          <w:rFonts w:hint="default" w:ascii="Times New Roman" w:hAnsi="Times New Roman" w:cs="Times New Roman"/>
        </w:rPr>
        <w:t>③部分管线未设防止物料外泄或喷溅的措施。</w:t>
      </w:r>
    </w:p>
    <w:p>
      <w:pPr>
        <w:ind w:firstLine="560" w:firstLineChars="200"/>
        <w:rPr>
          <w:rFonts w:hint="default" w:ascii="Times New Roman" w:hAnsi="Times New Roman" w:eastAsia="宋体" w:cs="Times New Roman"/>
          <w:lang w:eastAsia="zh-CN"/>
        </w:rPr>
      </w:pPr>
      <w:r>
        <w:rPr>
          <w:rFonts w:hint="default" w:ascii="Times New Roman" w:hAnsi="Times New Roman" w:cs="Times New Roman"/>
        </w:rPr>
        <w:t>④201原料罐区有毒气体检测报警器不能覆盖所有释放源</w:t>
      </w:r>
      <w:r>
        <w:rPr>
          <w:rFonts w:hint="default" w:ascii="Times New Roman" w:hAnsi="Times New Roman" w:cs="Times New Roman"/>
          <w:lang w:eastAsia="zh-CN"/>
        </w:rPr>
        <w:t>。</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⑤</w:t>
      </w:r>
      <w:r>
        <w:rPr>
          <w:rFonts w:hint="default" w:ascii="Times New Roman" w:hAnsi="Times New Roman" w:cs="Times New Roman"/>
        </w:rPr>
        <w:t>101生产车间的地面腐蚀严重，未进行防腐处理。</w:t>
      </w:r>
    </w:p>
    <w:p>
      <w:pPr>
        <w:ind w:firstLine="560" w:firstLineChars="200"/>
        <w:rPr>
          <w:rFonts w:hint="default" w:ascii="Times New Roman" w:hAnsi="Times New Roman" w:cs="Times New Roman"/>
        </w:rPr>
      </w:pPr>
      <w:r>
        <w:rPr>
          <w:rFonts w:hint="default" w:ascii="Times New Roman" w:hAnsi="Times New Roman" w:cs="Times New Roman"/>
        </w:rPr>
        <w:t>2、危险度分析</w:t>
      </w:r>
    </w:p>
    <w:p>
      <w:pPr>
        <w:ind w:firstLine="560" w:firstLineChars="200"/>
        <w:rPr>
          <w:rFonts w:hint="default" w:ascii="Times New Roman" w:hAnsi="Times New Roman" w:cs="Times New Roman"/>
        </w:rPr>
      </w:pPr>
      <w:r>
        <w:rPr>
          <w:rFonts w:hint="default" w:ascii="Times New Roman" w:hAnsi="Times New Roman" w:cs="Times New Roman"/>
        </w:rPr>
        <w:t>应用日本劳动省化工企业六阶段安全评价方法主要对该</w:t>
      </w:r>
      <w:r>
        <w:rPr>
          <w:rFonts w:hint="eastAsia" w:cs="Times New Roman"/>
          <w:lang w:val="en-US" w:eastAsia="zh-CN"/>
        </w:rPr>
        <w:t>企业</w:t>
      </w:r>
      <w:r>
        <w:rPr>
          <w:rFonts w:hint="default" w:ascii="Times New Roman" w:hAnsi="Times New Roman" w:cs="Times New Roman"/>
        </w:rPr>
        <w:t>主要生产单元、储存设施、辅助生产等单元进行危险度评价。</w:t>
      </w:r>
    </w:p>
    <w:p>
      <w:pPr>
        <w:ind w:firstLine="560" w:firstLineChars="200"/>
        <w:rPr>
          <w:rFonts w:hint="default" w:ascii="Times New Roman" w:hAnsi="Times New Roman" w:cs="Times New Roman"/>
        </w:rPr>
      </w:pPr>
      <w:r>
        <w:rPr>
          <w:rFonts w:hint="default" w:ascii="Times New Roman" w:hAnsi="Times New Roman" w:cs="Times New Roman"/>
        </w:rPr>
        <w:t>（1）实施评价</w:t>
      </w:r>
    </w:p>
    <w:p>
      <w:pPr>
        <w:ind w:firstLine="560" w:firstLineChars="200"/>
        <w:rPr>
          <w:rFonts w:hint="default" w:ascii="Times New Roman" w:hAnsi="Times New Roman" w:cs="Times New Roman"/>
        </w:rPr>
      </w:pPr>
      <w:r>
        <w:rPr>
          <w:rFonts w:hint="default" w:ascii="Times New Roman" w:hAnsi="Times New Roman" w:cs="Times New Roman"/>
        </w:rPr>
        <w:t>各单元取值及等级见表。</w:t>
      </w:r>
    </w:p>
    <w:p>
      <w:pPr>
        <w:pStyle w:val="2"/>
        <w:rPr>
          <w:rFonts w:hint="default" w:ascii="Times New Roman" w:hAnsi="Times New Roman" w:cs="Times New Roman"/>
        </w:rPr>
      </w:pPr>
    </w:p>
    <w:p>
      <w:pPr>
        <w:rPr>
          <w:rFonts w:hint="default" w:ascii="Times New Roman" w:hAnsi="Times New Roman" w:cs="Times New Roman"/>
        </w:rPr>
      </w:pPr>
    </w:p>
    <w:p>
      <w:pPr>
        <w:jc w:val="cente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t>表C.3-2 单元取值及危险等级分级表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514"/>
        <w:gridCol w:w="455"/>
        <w:gridCol w:w="884"/>
        <w:gridCol w:w="568"/>
        <w:gridCol w:w="806"/>
        <w:gridCol w:w="658"/>
        <w:gridCol w:w="784"/>
        <w:gridCol w:w="450"/>
        <w:gridCol w:w="700"/>
        <w:gridCol w:w="515"/>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69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4"/>
                <w:sz w:val="18"/>
                <w:szCs w:val="18"/>
              </w:rPr>
            </w:pPr>
            <w:r>
              <w:rPr>
                <w:rFonts w:hint="default" w:ascii="Times New Roman" w:hAnsi="Times New Roman" w:cs="Times New Roman"/>
                <w:sz w:val="18"/>
                <w:szCs w:val="18"/>
              </w:rPr>
              <w:t>装置名称</w:t>
            </w:r>
          </w:p>
        </w:tc>
        <w:tc>
          <w:tcPr>
            <w:tcW w:w="1060" w:type="pct"/>
            <w:gridSpan w:val="2"/>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4"/>
                <w:sz w:val="18"/>
                <w:szCs w:val="18"/>
              </w:rPr>
            </w:pPr>
            <w:r>
              <w:rPr>
                <w:rFonts w:hint="default" w:ascii="Times New Roman" w:hAnsi="Times New Roman" w:cs="Times New Roman"/>
                <w:sz w:val="18"/>
                <w:szCs w:val="18"/>
              </w:rPr>
              <w:t>主要介质</w:t>
            </w:r>
          </w:p>
        </w:tc>
        <w:tc>
          <w:tcPr>
            <w:tcW w:w="782" w:type="pct"/>
            <w:gridSpan w:val="2"/>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4"/>
                <w:sz w:val="18"/>
                <w:szCs w:val="18"/>
              </w:rPr>
            </w:pPr>
            <w:r>
              <w:rPr>
                <w:rFonts w:hint="default" w:ascii="Times New Roman" w:hAnsi="Times New Roman" w:cs="Times New Roman"/>
                <w:sz w:val="18"/>
                <w:szCs w:val="18"/>
              </w:rPr>
              <w:t>物料容量</w:t>
            </w:r>
          </w:p>
        </w:tc>
        <w:tc>
          <w:tcPr>
            <w:tcW w:w="788" w:type="pct"/>
            <w:gridSpan w:val="2"/>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温度</w:t>
            </w:r>
          </w:p>
        </w:tc>
        <w:tc>
          <w:tcPr>
            <w:tcW w:w="664" w:type="pct"/>
            <w:gridSpan w:val="2"/>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4"/>
                <w:sz w:val="18"/>
                <w:szCs w:val="18"/>
              </w:rPr>
            </w:pPr>
            <w:r>
              <w:rPr>
                <w:rFonts w:hint="default" w:ascii="Times New Roman" w:hAnsi="Times New Roman" w:cs="Times New Roman"/>
                <w:sz w:val="18"/>
                <w:szCs w:val="18"/>
              </w:rPr>
              <w:t>压力</w:t>
            </w:r>
          </w:p>
        </w:tc>
        <w:tc>
          <w:tcPr>
            <w:tcW w:w="37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4"/>
                <w:sz w:val="18"/>
                <w:szCs w:val="18"/>
              </w:rPr>
            </w:pPr>
            <w:r>
              <w:rPr>
                <w:rFonts w:hint="default" w:ascii="Times New Roman" w:hAnsi="Times New Roman" w:cs="Times New Roman"/>
                <w:sz w:val="18"/>
                <w:szCs w:val="18"/>
              </w:rPr>
              <w:t>操作</w:t>
            </w:r>
          </w:p>
        </w:tc>
        <w:tc>
          <w:tcPr>
            <w:tcW w:w="277"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总分</w:t>
            </w:r>
          </w:p>
        </w:tc>
        <w:tc>
          <w:tcPr>
            <w:tcW w:w="34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危险等级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69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4"/>
                <w:sz w:val="18"/>
                <w:szCs w:val="18"/>
              </w:rPr>
            </w:pPr>
          </w:p>
        </w:tc>
        <w:tc>
          <w:tcPr>
            <w:tcW w:w="815"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名称</w:t>
            </w:r>
          </w:p>
        </w:tc>
        <w:tc>
          <w:tcPr>
            <w:tcW w:w="245"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分数</w:t>
            </w:r>
          </w:p>
        </w:tc>
        <w:tc>
          <w:tcPr>
            <w:tcW w:w="476"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分数</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w:t>
            </w:r>
          </w:p>
        </w:tc>
        <w:tc>
          <w:tcPr>
            <w:tcW w:w="354"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分数</w:t>
            </w:r>
          </w:p>
        </w:tc>
        <w:tc>
          <w:tcPr>
            <w:tcW w:w="422"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MPa</w:t>
            </w:r>
          </w:p>
        </w:tc>
        <w:tc>
          <w:tcPr>
            <w:tcW w:w="242"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分数</w:t>
            </w:r>
          </w:p>
        </w:tc>
        <w:tc>
          <w:tcPr>
            <w:tcW w:w="37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分数</w:t>
            </w:r>
          </w:p>
        </w:tc>
        <w:tc>
          <w:tcPr>
            <w:tcW w:w="277"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4"/>
                <w:sz w:val="18"/>
                <w:szCs w:val="18"/>
              </w:rPr>
            </w:pPr>
          </w:p>
        </w:tc>
        <w:tc>
          <w:tcPr>
            <w:tcW w:w="34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tblHeader/>
          <w:jc w:val="center"/>
        </w:trPr>
        <w:tc>
          <w:tcPr>
            <w:tcW w:w="699" w:type="pct"/>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101生产车间</w:t>
            </w:r>
          </w:p>
        </w:tc>
        <w:tc>
          <w:tcPr>
            <w:tcW w:w="815"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氢氟酸</w:t>
            </w:r>
            <w:r>
              <w:rPr>
                <w:rFonts w:hint="default" w:ascii="Times New Roman" w:hAnsi="Times New Roman" w:cs="Times New Roman"/>
                <w:sz w:val="18"/>
                <w:szCs w:val="18"/>
                <w:lang w:eastAsia="zh-CN"/>
              </w:rPr>
              <w:t>、氟硅酸、氟硼酸</w:t>
            </w:r>
          </w:p>
        </w:tc>
        <w:tc>
          <w:tcPr>
            <w:tcW w:w="245"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5</w:t>
            </w:r>
          </w:p>
        </w:tc>
        <w:tc>
          <w:tcPr>
            <w:tcW w:w="476"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10~50</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2</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＜250</w:t>
            </w:r>
          </w:p>
        </w:tc>
        <w:tc>
          <w:tcPr>
            <w:tcW w:w="354"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0</w:t>
            </w:r>
          </w:p>
        </w:tc>
        <w:tc>
          <w:tcPr>
            <w:tcW w:w="422"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w:t>
            </w:r>
          </w:p>
        </w:tc>
        <w:tc>
          <w:tcPr>
            <w:tcW w:w="242"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0</w:t>
            </w:r>
          </w:p>
        </w:tc>
        <w:tc>
          <w:tcPr>
            <w:tcW w:w="37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w:t>
            </w:r>
          </w:p>
        </w:tc>
        <w:tc>
          <w:tcPr>
            <w:tcW w:w="27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kern w:val="24"/>
                <w:sz w:val="18"/>
                <w:szCs w:val="18"/>
                <w:lang w:eastAsia="zh-CN"/>
              </w:rPr>
            </w:pPr>
            <w:r>
              <w:rPr>
                <w:rFonts w:hint="default" w:ascii="Times New Roman" w:hAnsi="Times New Roman" w:cs="Times New Roman"/>
                <w:kern w:val="24"/>
                <w:sz w:val="18"/>
                <w:szCs w:val="18"/>
                <w:lang w:val="en-US" w:eastAsia="zh-CN"/>
              </w:rPr>
              <w:t>9</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4"/>
                <w:sz w:val="18"/>
                <w:szCs w:val="18"/>
              </w:rPr>
            </w:pPr>
            <w:r>
              <w:rPr>
                <w:rFonts w:hint="default" w:ascii="Times New Roman" w:hAnsi="Times New Roman" w:cs="Times New Roman"/>
                <w:sz w:val="2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tblHeader/>
          <w:jc w:val="center"/>
        </w:trPr>
        <w:tc>
          <w:tcPr>
            <w:tcW w:w="699" w:type="pct"/>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102生产车间</w:t>
            </w:r>
          </w:p>
        </w:tc>
        <w:tc>
          <w:tcPr>
            <w:tcW w:w="815"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氢氟酸、氟硅酸、氟硼酸</w:t>
            </w:r>
          </w:p>
        </w:tc>
        <w:tc>
          <w:tcPr>
            <w:tcW w:w="245"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5</w:t>
            </w:r>
          </w:p>
        </w:tc>
        <w:tc>
          <w:tcPr>
            <w:tcW w:w="476"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10~50</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2</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＜250</w:t>
            </w:r>
          </w:p>
        </w:tc>
        <w:tc>
          <w:tcPr>
            <w:tcW w:w="354"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0</w:t>
            </w:r>
          </w:p>
        </w:tc>
        <w:tc>
          <w:tcPr>
            <w:tcW w:w="422"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w:t>
            </w:r>
          </w:p>
        </w:tc>
        <w:tc>
          <w:tcPr>
            <w:tcW w:w="242"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0</w:t>
            </w:r>
          </w:p>
        </w:tc>
        <w:tc>
          <w:tcPr>
            <w:tcW w:w="37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w:t>
            </w:r>
          </w:p>
        </w:tc>
        <w:tc>
          <w:tcPr>
            <w:tcW w:w="27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4"/>
                <w:sz w:val="18"/>
                <w:szCs w:val="18"/>
              </w:rPr>
            </w:pPr>
            <w:r>
              <w:rPr>
                <w:rFonts w:hint="default" w:ascii="Times New Roman" w:hAnsi="Times New Roman" w:cs="Times New Roman"/>
                <w:kern w:val="24"/>
                <w:sz w:val="18"/>
                <w:szCs w:val="18"/>
              </w:rPr>
              <w:t>9</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kern w:val="24"/>
                <w:sz w:val="18"/>
                <w:szCs w:val="18"/>
              </w:rPr>
            </w:pPr>
            <w:r>
              <w:rPr>
                <w:rFonts w:hint="default" w:ascii="Times New Roman" w:hAnsi="Times New Roman" w:cs="Times New Roman"/>
                <w:sz w:val="2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tblHeader/>
          <w:jc w:val="center"/>
        </w:trPr>
        <w:tc>
          <w:tcPr>
            <w:tcW w:w="699" w:type="pct"/>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103生产车间</w:t>
            </w:r>
          </w:p>
        </w:tc>
        <w:tc>
          <w:tcPr>
            <w:tcW w:w="815"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氟硼酸</w:t>
            </w:r>
          </w:p>
        </w:tc>
        <w:tc>
          <w:tcPr>
            <w:tcW w:w="245"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2</w:t>
            </w:r>
          </w:p>
        </w:tc>
        <w:tc>
          <w:tcPr>
            <w:tcW w:w="476"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＜100</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＜250</w:t>
            </w:r>
          </w:p>
        </w:tc>
        <w:tc>
          <w:tcPr>
            <w:tcW w:w="354"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w:t>
            </w:r>
          </w:p>
        </w:tc>
        <w:tc>
          <w:tcPr>
            <w:tcW w:w="422"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w:t>
            </w:r>
          </w:p>
        </w:tc>
        <w:tc>
          <w:tcPr>
            <w:tcW w:w="242"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0</w:t>
            </w:r>
          </w:p>
        </w:tc>
        <w:tc>
          <w:tcPr>
            <w:tcW w:w="37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2</w:t>
            </w:r>
          </w:p>
        </w:tc>
        <w:tc>
          <w:tcPr>
            <w:tcW w:w="27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kern w:val="24"/>
                <w:sz w:val="18"/>
                <w:szCs w:val="18"/>
                <w:lang w:eastAsia="zh-CN"/>
              </w:rPr>
            </w:pPr>
            <w:r>
              <w:rPr>
                <w:rFonts w:hint="default" w:ascii="Times New Roman" w:hAnsi="Times New Roman" w:cs="Times New Roman"/>
                <w:kern w:val="24"/>
                <w:sz w:val="18"/>
                <w:szCs w:val="18"/>
                <w:lang w:val="en-US" w:eastAsia="zh-CN"/>
              </w:rPr>
              <w:t>4</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699" w:type="pct"/>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1</w:t>
            </w:r>
            <w:r>
              <w:rPr>
                <w:rFonts w:hint="default" w:ascii="Times New Roman" w:hAnsi="Times New Roman" w:cs="Times New Roman"/>
                <w:sz w:val="18"/>
                <w:szCs w:val="18"/>
                <w:lang w:val="en-US" w:eastAsia="zh-CN"/>
              </w:rPr>
              <w:t>04生产车间</w:t>
            </w:r>
          </w:p>
        </w:tc>
        <w:tc>
          <w:tcPr>
            <w:tcW w:w="815"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氢氟酸</w:t>
            </w:r>
            <w:r>
              <w:rPr>
                <w:rFonts w:hint="default" w:ascii="Times New Roman" w:hAnsi="Times New Roman" w:cs="Times New Roman"/>
                <w:sz w:val="18"/>
                <w:szCs w:val="18"/>
                <w:lang w:eastAsia="zh-CN"/>
              </w:rPr>
              <w:t>、氢氧化铝</w:t>
            </w:r>
          </w:p>
        </w:tc>
        <w:tc>
          <w:tcPr>
            <w:tcW w:w="245"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2</w:t>
            </w:r>
          </w:p>
        </w:tc>
        <w:tc>
          <w:tcPr>
            <w:tcW w:w="476"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＜100</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＜250</w:t>
            </w:r>
          </w:p>
        </w:tc>
        <w:tc>
          <w:tcPr>
            <w:tcW w:w="354"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w:t>
            </w:r>
          </w:p>
        </w:tc>
        <w:tc>
          <w:tcPr>
            <w:tcW w:w="422"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w:t>
            </w:r>
          </w:p>
        </w:tc>
        <w:tc>
          <w:tcPr>
            <w:tcW w:w="242"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0</w:t>
            </w:r>
          </w:p>
        </w:tc>
        <w:tc>
          <w:tcPr>
            <w:tcW w:w="37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2</w:t>
            </w:r>
          </w:p>
        </w:tc>
        <w:tc>
          <w:tcPr>
            <w:tcW w:w="27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kern w:val="24"/>
                <w:sz w:val="18"/>
                <w:szCs w:val="18"/>
                <w:lang w:eastAsia="zh-CN"/>
              </w:rPr>
            </w:pPr>
            <w:r>
              <w:rPr>
                <w:rFonts w:hint="default" w:ascii="Times New Roman" w:hAnsi="Times New Roman" w:cs="Times New Roman"/>
                <w:kern w:val="24"/>
                <w:sz w:val="18"/>
                <w:szCs w:val="18"/>
                <w:lang w:val="en-US" w:eastAsia="zh-CN"/>
              </w:rPr>
              <w:t>4</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tblHeader/>
          <w:jc w:val="center"/>
        </w:trPr>
        <w:tc>
          <w:tcPr>
            <w:tcW w:w="699" w:type="pct"/>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105生产车间</w:t>
            </w:r>
          </w:p>
        </w:tc>
        <w:tc>
          <w:tcPr>
            <w:tcW w:w="815"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氟硅酸钾、氟硅酸钡、氟硅酸镁、氟硅酸锌、氟硼酸钾</w:t>
            </w:r>
          </w:p>
        </w:tc>
        <w:tc>
          <w:tcPr>
            <w:tcW w:w="245"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2</w:t>
            </w:r>
          </w:p>
        </w:tc>
        <w:tc>
          <w:tcPr>
            <w:tcW w:w="476"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＜100</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＜250</w:t>
            </w:r>
          </w:p>
        </w:tc>
        <w:tc>
          <w:tcPr>
            <w:tcW w:w="354"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0</w:t>
            </w:r>
          </w:p>
        </w:tc>
        <w:tc>
          <w:tcPr>
            <w:tcW w:w="422"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w:t>
            </w:r>
          </w:p>
        </w:tc>
        <w:tc>
          <w:tcPr>
            <w:tcW w:w="242"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0</w:t>
            </w:r>
          </w:p>
        </w:tc>
        <w:tc>
          <w:tcPr>
            <w:tcW w:w="37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2</w:t>
            </w:r>
          </w:p>
        </w:tc>
        <w:tc>
          <w:tcPr>
            <w:tcW w:w="277"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kern w:val="24"/>
                <w:sz w:val="18"/>
                <w:szCs w:val="18"/>
                <w:lang w:eastAsia="zh-CN"/>
              </w:rPr>
            </w:pPr>
            <w:r>
              <w:rPr>
                <w:rFonts w:hint="default" w:ascii="Times New Roman" w:hAnsi="Times New Roman" w:cs="Times New Roman"/>
                <w:kern w:val="24"/>
                <w:sz w:val="18"/>
                <w:szCs w:val="18"/>
                <w:lang w:val="en-US" w:eastAsia="zh-CN"/>
              </w:rPr>
              <w:t>4</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Ⅲ</w:t>
            </w:r>
          </w:p>
        </w:tc>
      </w:tr>
    </w:tbl>
    <w:p>
      <w:pPr>
        <w:spacing w:line="360" w:lineRule="auto"/>
        <w:ind w:firstLine="560" w:firstLineChars="200"/>
        <w:jc w:val="left"/>
        <w:rPr>
          <w:rFonts w:hint="default" w:ascii="Times New Roman" w:hAnsi="Times New Roman" w:cs="Times New Roman"/>
        </w:rPr>
      </w:pPr>
      <w:r>
        <w:rPr>
          <w:rFonts w:hint="default" w:ascii="Times New Roman" w:hAnsi="Times New Roman" w:cs="Times New Roman"/>
        </w:rPr>
        <w:t>危险度评价结果分析与结论：</w:t>
      </w:r>
    </w:p>
    <w:p>
      <w:pPr>
        <w:spacing w:line="360" w:lineRule="auto"/>
        <w:ind w:firstLine="560" w:firstLineChars="200"/>
        <w:jc w:val="left"/>
        <w:rPr>
          <w:rFonts w:hint="default" w:ascii="Times New Roman" w:hAnsi="Times New Roman" w:cs="Times New Roman"/>
        </w:rPr>
      </w:pPr>
      <w:r>
        <w:rPr>
          <w:rFonts w:hint="default" w:ascii="Times New Roman" w:hAnsi="Times New Roman" w:cs="Times New Roman"/>
        </w:rPr>
        <w:t>由上表可以看出，</w:t>
      </w:r>
      <w:r>
        <w:rPr>
          <w:rFonts w:hint="eastAsia" w:cs="Times New Roman"/>
          <w:lang w:eastAsia="zh-CN"/>
        </w:rPr>
        <w:t>该企业101-105生产车间的分值均在10分以下</w:t>
      </w:r>
      <w:r>
        <w:rPr>
          <w:rFonts w:hint="default" w:ascii="Times New Roman" w:hAnsi="Times New Roman" w:cs="Times New Roman"/>
          <w:lang w:val="en-US" w:eastAsia="zh-CN"/>
        </w:rPr>
        <w:t>，</w:t>
      </w:r>
      <w:r>
        <w:rPr>
          <w:rFonts w:hint="default" w:ascii="Times New Roman" w:hAnsi="Times New Roman" w:cs="Times New Roman"/>
        </w:rPr>
        <w:t>危险程度等级为Ⅲ级（</w:t>
      </w:r>
      <w:r>
        <w:rPr>
          <w:rFonts w:hint="default" w:ascii="Times New Roman" w:hAnsi="Times New Roman" w:cs="Times New Roman"/>
          <w:lang w:val="en-US" w:eastAsia="zh-CN"/>
        </w:rPr>
        <w:t>低</w:t>
      </w:r>
      <w:r>
        <w:rPr>
          <w:rFonts w:hint="default" w:ascii="Times New Roman" w:hAnsi="Times New Roman" w:cs="Times New Roman"/>
        </w:rPr>
        <w:t>度危险）。</w:t>
      </w:r>
    </w:p>
    <w:p>
      <w:pPr>
        <w:pStyle w:val="4"/>
        <w:rPr>
          <w:rFonts w:hint="default" w:ascii="Times New Roman" w:hAnsi="Times New Roman" w:cs="Times New Roman"/>
        </w:rPr>
      </w:pPr>
      <w:bookmarkStart w:id="138" w:name="_Toc29960"/>
      <w:bookmarkStart w:id="139" w:name="_Toc17480"/>
      <w:bookmarkStart w:id="140" w:name="_Toc2059"/>
      <w:r>
        <w:rPr>
          <w:rFonts w:hint="default" w:ascii="Times New Roman" w:hAnsi="Times New Roman" w:cs="Times New Roman"/>
        </w:rPr>
        <w:t>C.4储运单元</w:t>
      </w:r>
      <w:bookmarkEnd w:id="138"/>
      <w:bookmarkEnd w:id="139"/>
      <w:bookmarkEnd w:id="140"/>
    </w:p>
    <w:p>
      <w:pPr>
        <w:ind w:firstLine="560" w:firstLineChars="200"/>
        <w:rPr>
          <w:rFonts w:hint="default" w:ascii="Times New Roman" w:hAnsi="Times New Roman" w:cs="Times New Roman"/>
        </w:rPr>
      </w:pPr>
      <w:r>
        <w:rPr>
          <w:rFonts w:hint="default" w:ascii="Times New Roman" w:hAnsi="Times New Roman" w:cs="Times New Roman"/>
        </w:rPr>
        <w:t>1.安全检查表法分析评价</w:t>
      </w:r>
    </w:p>
    <w:p>
      <w:pPr>
        <w:ind w:firstLine="560" w:firstLineChars="200"/>
        <w:rPr>
          <w:rFonts w:hint="default" w:ascii="Times New Roman" w:hAnsi="Times New Roman" w:cs="Times New Roman"/>
        </w:rPr>
      </w:pPr>
      <w:r>
        <w:rPr>
          <w:rFonts w:hint="default" w:ascii="Times New Roman" w:hAnsi="Times New Roman" w:cs="Times New Roman"/>
        </w:rPr>
        <w:t>依据《工业企业设计卫生标准》、《化工企业安全卫生设计规范》、《建筑设计防火规范》GB50016-2104（2018版）、《危险化学品储罐区作业安全通则》、《仓库防火安全管理规则》及等法规、规范，使用安全检查表对该公司的罐区、仓库的储运单元进行了检查，检查情况见附表C.4-1。</w:t>
      </w:r>
    </w:p>
    <w:p>
      <w:pPr>
        <w:jc w:val="center"/>
        <w:rPr>
          <w:rFonts w:hint="default" w:ascii="Times New Roman" w:hAnsi="Times New Roman" w:cs="Times New Roman"/>
        </w:rPr>
      </w:pPr>
      <w:r>
        <w:rPr>
          <w:rFonts w:hint="default" w:ascii="Times New Roman" w:hAnsi="Times New Roman" w:cs="Times New Roman"/>
        </w:rPr>
        <w:t>附表C.4-1 储运单元安全检查表评价</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20"/>
        <w:gridCol w:w="4231"/>
        <w:gridCol w:w="2076"/>
        <w:gridCol w:w="899"/>
        <w:gridCol w:w="1432"/>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spacing w:line="240" w:lineRule="auto"/>
              <w:jc w:val="center"/>
              <w:rPr>
                <w:rFonts w:hint="default" w:ascii="Times New Roman" w:hAnsi="Times New Roman" w:cs="Times New Roman"/>
                <w:sz w:val="21"/>
                <w:szCs w:val="21"/>
              </w:rPr>
            </w:pPr>
            <w:bookmarkStart w:id="141" w:name="_Toc208809290"/>
            <w:bookmarkStart w:id="142" w:name="_Toc208826030"/>
            <w:r>
              <w:rPr>
                <w:rFonts w:hint="default" w:ascii="Times New Roman" w:hAnsi="Times New Roman" w:cs="Times New Roman"/>
                <w:sz w:val="21"/>
                <w:szCs w:val="21"/>
              </w:rPr>
              <w:t>序号</w:t>
            </w:r>
          </w:p>
        </w:tc>
        <w:tc>
          <w:tcPr>
            <w:tcW w:w="227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检查内容</w:t>
            </w:r>
          </w:p>
        </w:tc>
        <w:tc>
          <w:tcPr>
            <w:tcW w:w="111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检查依据</w:t>
            </w:r>
          </w:p>
        </w:tc>
        <w:tc>
          <w:tcPr>
            <w:tcW w:w="48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检查</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结果</w:t>
            </w:r>
          </w:p>
        </w:tc>
        <w:tc>
          <w:tcPr>
            <w:tcW w:w="771"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3" w:type="pct"/>
          <w:jc w:val="center"/>
        </w:trPr>
        <w:tc>
          <w:tcPr>
            <w:tcW w:w="343" w:type="pct"/>
            <w:gridSpan w:val="2"/>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一</w:t>
            </w:r>
          </w:p>
        </w:tc>
        <w:tc>
          <w:tcPr>
            <w:tcW w:w="227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物料储存</w:t>
            </w:r>
          </w:p>
        </w:tc>
        <w:tc>
          <w:tcPr>
            <w:tcW w:w="1118" w:type="pct"/>
            <w:vAlign w:val="center"/>
          </w:tcPr>
          <w:p>
            <w:pPr>
              <w:spacing w:line="240" w:lineRule="auto"/>
              <w:jc w:val="center"/>
              <w:rPr>
                <w:rFonts w:hint="default" w:ascii="Times New Roman" w:hAnsi="Times New Roman" w:cs="Times New Roman"/>
                <w:sz w:val="21"/>
                <w:szCs w:val="21"/>
              </w:rPr>
            </w:pPr>
          </w:p>
        </w:tc>
        <w:tc>
          <w:tcPr>
            <w:tcW w:w="484" w:type="pct"/>
            <w:vAlign w:val="center"/>
          </w:tcPr>
          <w:p>
            <w:pPr>
              <w:spacing w:line="240" w:lineRule="auto"/>
              <w:jc w:val="center"/>
              <w:rPr>
                <w:rFonts w:hint="default" w:ascii="Times New Roman" w:hAnsi="Times New Roman" w:cs="Times New Roman"/>
                <w:sz w:val="21"/>
                <w:szCs w:val="21"/>
              </w:rPr>
            </w:pPr>
          </w:p>
        </w:tc>
        <w:tc>
          <w:tcPr>
            <w:tcW w:w="771" w:type="pct"/>
            <w:vAlign w:val="center"/>
          </w:tcPr>
          <w:p>
            <w:pPr>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numPr>
                <w:ilvl w:val="0"/>
                <w:numId w:val="28"/>
              </w:numPr>
              <w:spacing w:line="240" w:lineRule="auto"/>
              <w:rPr>
                <w:rFonts w:hint="default" w:ascii="Times New Roman" w:hAnsi="Times New Roman" w:cs="Times New Roman"/>
                <w:sz w:val="21"/>
                <w:szCs w:val="21"/>
              </w:rPr>
            </w:pPr>
          </w:p>
          <w:p>
            <w:pPr>
              <w:spacing w:line="240" w:lineRule="auto"/>
              <w:jc w:val="center"/>
              <w:rPr>
                <w:rFonts w:hint="default" w:ascii="Times New Roman" w:hAnsi="Times New Roman" w:cs="Times New Roman"/>
                <w:sz w:val="21"/>
                <w:szCs w:val="21"/>
              </w:rPr>
            </w:pPr>
          </w:p>
        </w:tc>
        <w:tc>
          <w:tcPr>
            <w:tcW w:w="2278" w:type="pct"/>
            <w:vAlign w:val="center"/>
          </w:tcPr>
          <w:p>
            <w:pPr>
              <w:spacing w:line="240" w:lineRule="auto"/>
              <w:rPr>
                <w:rFonts w:hint="default" w:ascii="Times New Roman" w:hAnsi="Times New Roman" w:cs="Times New Roman"/>
                <w:sz w:val="21"/>
                <w:szCs w:val="21"/>
                <w:shd w:val="clear" w:color="auto" w:fill="FFFFFF"/>
              </w:rPr>
            </w:pPr>
            <w:r>
              <w:rPr>
                <w:rFonts w:hint="default" w:ascii="Times New Roman" w:hAnsi="Times New Roman" w:cs="Times New Roman"/>
                <w:sz w:val="21"/>
                <w:szCs w:val="21"/>
                <w:shd w:val="clear" w:color="auto" w:fill="FFFFFF"/>
              </w:rPr>
              <w:t>生产、储存危险化学品的单位，应当根据其生产、储存的危险化学品的种类和危险特性，在作业场所设置相应的监测、监控、通风、</w:t>
            </w:r>
            <w:r>
              <w:rPr>
                <w:rFonts w:hint="default" w:ascii="Times New Roman" w:hAnsi="Times New Roman" w:cs="Times New Roman"/>
                <w:spacing w:val="-2"/>
                <w:sz w:val="21"/>
                <w:szCs w:val="21"/>
                <w:shd w:val="clear" w:color="auto" w:fill="FFFFFF"/>
              </w:rPr>
              <w:t>防晒、调温、防火、灭火、防爆、泄压、防毒、中和、防潮、防雷、防静电、防腐、防泄漏以及防护围堤或者隔离操作等安全设施、设备，并按照国家标准、行业标准或者</w:t>
            </w:r>
            <w:r>
              <w:rPr>
                <w:rFonts w:hint="default" w:ascii="Times New Roman" w:hAnsi="Times New Roman" w:cs="Times New Roman"/>
                <w:spacing w:val="-6"/>
                <w:sz w:val="21"/>
                <w:szCs w:val="21"/>
                <w:shd w:val="clear" w:color="auto" w:fill="FFFFFF"/>
              </w:rPr>
              <w:t>国家有关规定对安全设施、设备进行经常性维护、保养，保证安全设施、设备的正常使用。</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shd w:val="clear" w:color="auto" w:fill="FFFFFF"/>
              </w:rPr>
              <w:t>生产、储存危险化学品的单位，应当在其作业场所和安全设施、设备上设置明显的安全警示标志。</w:t>
            </w:r>
          </w:p>
        </w:tc>
        <w:tc>
          <w:tcPr>
            <w:tcW w:w="111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《危险化学品安全管理条例》第二十条</w:t>
            </w:r>
          </w:p>
        </w:tc>
        <w:tc>
          <w:tcPr>
            <w:tcW w:w="48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1" w:type="pct"/>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厂区设置了消防系统；库房设置了防雨、防晒、通风设施；储存危险化学品的场所设置明显的安全警示标志。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numPr>
                <w:ilvl w:val="0"/>
                <w:numId w:val="28"/>
              </w:numPr>
              <w:spacing w:line="240" w:lineRule="auto"/>
              <w:rPr>
                <w:rFonts w:hint="default" w:ascii="Times New Roman" w:hAnsi="Times New Roman" w:cs="Times New Roman"/>
                <w:sz w:val="21"/>
                <w:szCs w:val="21"/>
              </w:rPr>
            </w:pPr>
          </w:p>
        </w:tc>
        <w:tc>
          <w:tcPr>
            <w:tcW w:w="2278" w:type="pct"/>
            <w:vAlign w:val="center"/>
          </w:tcPr>
          <w:p>
            <w:pPr>
              <w:spacing w:line="240" w:lineRule="auto"/>
              <w:rPr>
                <w:rFonts w:hint="default" w:ascii="Times New Roman" w:hAnsi="Times New Roman" w:cs="Times New Roman"/>
                <w:sz w:val="21"/>
                <w:szCs w:val="21"/>
                <w:shd w:val="clear" w:color="auto" w:fill="FFFFFF"/>
              </w:rPr>
            </w:pPr>
            <w:r>
              <w:rPr>
                <w:rFonts w:hint="default" w:ascii="Times New Roman" w:hAnsi="Times New Roman" w:cs="Times New Roman"/>
                <w:sz w:val="21"/>
                <w:szCs w:val="21"/>
                <w:shd w:val="clear" w:color="auto" w:fill="FFFFFF"/>
              </w:rPr>
              <w:t>生产、储存危险化学品的单位，应当在其作业场所设置通信、报警装置，并保证处于适用状态。</w:t>
            </w:r>
          </w:p>
        </w:tc>
        <w:tc>
          <w:tcPr>
            <w:tcW w:w="111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《危险化学品安全管理条例》第二十一条</w:t>
            </w:r>
          </w:p>
        </w:tc>
        <w:tc>
          <w:tcPr>
            <w:tcW w:w="484" w:type="pct"/>
            <w:vAlign w:val="center"/>
          </w:tcPr>
          <w:p>
            <w:pPr>
              <w:spacing w:line="240" w:lineRule="auto"/>
              <w:jc w:val="center"/>
              <w:rPr>
                <w:rFonts w:hint="default" w:ascii="Times New Roman" w:hAnsi="Times New Roman" w:cs="Times New Roman"/>
                <w:b/>
                <w:bCs/>
                <w:sz w:val="21"/>
                <w:szCs w:val="21"/>
              </w:rPr>
            </w:pPr>
            <w:r>
              <w:rPr>
                <w:rFonts w:hint="default" w:ascii="Times New Roman" w:hAnsi="Times New Roman" w:cs="Times New Roman"/>
                <w:sz w:val="21"/>
                <w:szCs w:val="21"/>
              </w:rPr>
              <w:t>符合</w:t>
            </w:r>
          </w:p>
        </w:tc>
        <w:tc>
          <w:tcPr>
            <w:tcW w:w="771" w:type="pct"/>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shd w:val="clear" w:color="auto" w:fill="FFFFFF"/>
              </w:rPr>
              <w:t>涉及</w:t>
            </w:r>
            <w:r>
              <w:rPr>
                <w:rFonts w:hint="default" w:ascii="Times New Roman" w:hAnsi="Times New Roman" w:cs="Times New Roman"/>
                <w:sz w:val="21"/>
                <w:szCs w:val="21"/>
                <w:shd w:val="clear" w:color="auto" w:fill="FFFFFF"/>
                <w:lang w:val="en-US" w:eastAsia="zh-CN"/>
              </w:rPr>
              <w:t>有毒物料</w:t>
            </w:r>
            <w:r>
              <w:rPr>
                <w:rFonts w:hint="default" w:ascii="Times New Roman" w:hAnsi="Times New Roman" w:cs="Times New Roman"/>
                <w:sz w:val="21"/>
                <w:szCs w:val="21"/>
                <w:shd w:val="clear" w:color="auto" w:fill="FFFFFF"/>
              </w:rPr>
              <w:t>的</w:t>
            </w:r>
            <w:r>
              <w:rPr>
                <w:rFonts w:hint="default" w:ascii="Times New Roman" w:hAnsi="Times New Roman" w:cs="Times New Roman"/>
                <w:sz w:val="21"/>
                <w:szCs w:val="21"/>
                <w:shd w:val="clear" w:color="auto" w:fill="FFFFFF"/>
                <w:lang w:val="en-US" w:eastAsia="zh-CN"/>
              </w:rPr>
              <w:t>罐区</w:t>
            </w:r>
            <w:r>
              <w:rPr>
                <w:rFonts w:hint="default" w:ascii="Times New Roman" w:hAnsi="Times New Roman" w:cs="Times New Roman"/>
                <w:sz w:val="21"/>
                <w:szCs w:val="21"/>
                <w:shd w:val="clear" w:color="auto" w:fill="FFFFFF"/>
              </w:rPr>
              <w:t>和仓库设置了</w:t>
            </w:r>
            <w:r>
              <w:rPr>
                <w:rFonts w:hint="default" w:ascii="Times New Roman" w:hAnsi="Times New Roman" w:cs="Times New Roman"/>
                <w:sz w:val="21"/>
                <w:szCs w:val="21"/>
                <w:shd w:val="clear" w:color="auto" w:fill="FFFFFF"/>
                <w:lang w:val="en-US" w:eastAsia="zh-CN"/>
              </w:rPr>
              <w:t>有毒</w:t>
            </w:r>
            <w:r>
              <w:rPr>
                <w:rFonts w:hint="default" w:ascii="Times New Roman" w:hAnsi="Times New Roman" w:cs="Times New Roman"/>
                <w:sz w:val="21"/>
                <w:szCs w:val="21"/>
                <w:shd w:val="clear" w:color="auto" w:fill="FFFFFF"/>
              </w:rPr>
              <w:t>气体探头。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numPr>
                <w:ilvl w:val="0"/>
                <w:numId w:val="28"/>
              </w:numPr>
              <w:spacing w:line="240" w:lineRule="auto"/>
              <w:rPr>
                <w:rFonts w:hint="default" w:ascii="Times New Roman" w:hAnsi="Times New Roman" w:cs="Times New Roman"/>
                <w:sz w:val="21"/>
                <w:szCs w:val="21"/>
              </w:rPr>
            </w:pPr>
          </w:p>
        </w:tc>
        <w:tc>
          <w:tcPr>
            <w:tcW w:w="2278" w:type="pct"/>
            <w:vAlign w:val="center"/>
          </w:tcPr>
          <w:p>
            <w:pPr>
              <w:spacing w:line="240" w:lineRule="auto"/>
              <w:rPr>
                <w:rFonts w:hint="default" w:ascii="Times New Roman" w:hAnsi="Times New Roman" w:cs="Times New Roman"/>
                <w:sz w:val="21"/>
                <w:szCs w:val="21"/>
                <w:shd w:val="clear" w:color="auto" w:fill="FFFFFF"/>
              </w:rPr>
            </w:pPr>
            <w:r>
              <w:rPr>
                <w:rFonts w:hint="default" w:ascii="Times New Roman" w:hAnsi="Times New Roman" w:cs="Times New Roman"/>
                <w:sz w:val="21"/>
                <w:szCs w:val="21"/>
                <w:shd w:val="clear" w:color="auto" w:fill="FFFFFF"/>
              </w:rPr>
              <w:t>危险化学品应当储存在专用仓库内，并由专人负责管理；剧毒化学品以及储存数量构成重大危险源的其他危险化学品，应当在专用仓库内单独存放，并实行双人收发、双人保管制度。</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shd w:val="clear" w:color="auto" w:fill="FFFFFF"/>
              </w:rPr>
              <w:t>危险化学品的储存方式、方法以及储存数量应当符合国家标准或者国家有关规定。</w:t>
            </w:r>
          </w:p>
        </w:tc>
        <w:tc>
          <w:tcPr>
            <w:tcW w:w="111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《危险化学品安全管理条例》第二十四条</w:t>
            </w:r>
          </w:p>
        </w:tc>
        <w:tc>
          <w:tcPr>
            <w:tcW w:w="48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1" w:type="pct"/>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危化品储存在专用场所，不涉及剧毒化学品。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numPr>
                <w:ilvl w:val="0"/>
                <w:numId w:val="28"/>
              </w:numPr>
              <w:spacing w:line="240" w:lineRule="auto"/>
              <w:rPr>
                <w:rFonts w:hint="default" w:ascii="Times New Roman" w:hAnsi="Times New Roman" w:cs="Times New Roman"/>
                <w:sz w:val="21"/>
                <w:szCs w:val="21"/>
              </w:rPr>
            </w:pPr>
          </w:p>
        </w:tc>
        <w:tc>
          <w:tcPr>
            <w:tcW w:w="2278" w:type="pct"/>
            <w:vAlign w:val="center"/>
          </w:tcPr>
          <w:p>
            <w:pPr>
              <w:spacing w:line="240" w:lineRule="auto"/>
              <w:rPr>
                <w:rFonts w:hint="default" w:ascii="Times New Roman" w:hAnsi="Times New Roman" w:cs="Times New Roman"/>
                <w:sz w:val="21"/>
                <w:szCs w:val="21"/>
                <w:shd w:val="clear" w:color="auto" w:fill="FFFFFF"/>
              </w:rPr>
            </w:pPr>
            <w:r>
              <w:rPr>
                <w:rFonts w:hint="default" w:ascii="Times New Roman" w:hAnsi="Times New Roman" w:cs="Times New Roman"/>
                <w:sz w:val="21"/>
                <w:szCs w:val="21"/>
                <w:shd w:val="clear" w:color="auto" w:fill="FFFFFF"/>
              </w:rPr>
              <w:t>储存危险化学品的单位应当建立危险化学品出入库核查、登记制度。对剧毒化学品以及储存数量构成重大危险源的其他危险化学品，储存单位应当将其储存数量、储存地点以及管理人员的情况，报所在地县级人民政府安全生产监督管理部门（在港区内储存的，报港口行政管理部门）和公安机关备案。</w:t>
            </w:r>
          </w:p>
        </w:tc>
        <w:tc>
          <w:tcPr>
            <w:tcW w:w="111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《危险化学品安全管理条例》第二十五条</w:t>
            </w:r>
          </w:p>
        </w:tc>
        <w:tc>
          <w:tcPr>
            <w:tcW w:w="484" w:type="pct"/>
            <w:vAlign w:val="center"/>
          </w:tcPr>
          <w:p>
            <w:pPr>
              <w:spacing w:line="240" w:lineRule="auto"/>
              <w:jc w:val="center"/>
              <w:rPr>
                <w:rFonts w:hint="default" w:ascii="Times New Roman" w:hAnsi="Times New Roman" w:cs="Times New Roman"/>
                <w:b/>
                <w:bCs/>
                <w:sz w:val="21"/>
                <w:szCs w:val="21"/>
              </w:rPr>
            </w:pPr>
            <w:r>
              <w:rPr>
                <w:rFonts w:hint="default" w:ascii="Times New Roman" w:hAnsi="Times New Roman" w:cs="Times New Roman"/>
                <w:sz w:val="21"/>
                <w:szCs w:val="21"/>
              </w:rPr>
              <w:t>符合</w:t>
            </w:r>
          </w:p>
        </w:tc>
        <w:tc>
          <w:tcPr>
            <w:tcW w:w="771" w:type="pct"/>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shd w:val="clear" w:color="auto" w:fill="FFFFFF"/>
              </w:rPr>
              <w:t>建立有危险化学品出入库核查、登记制度。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3" w:type="pct"/>
          <w:jc w:val="center"/>
        </w:trPr>
        <w:tc>
          <w:tcPr>
            <w:tcW w:w="343" w:type="pct"/>
            <w:gridSpan w:val="2"/>
            <w:vAlign w:val="center"/>
          </w:tcPr>
          <w:p>
            <w:pPr>
              <w:keepNext w:val="0"/>
              <w:keepLines w:val="0"/>
              <w:pageBreakBefore w:val="0"/>
              <w:numPr>
                <w:ilvl w:val="0"/>
                <w:numId w:val="28"/>
              </w:numPr>
              <w:kinsoku/>
              <w:wordWrap/>
              <w:overflowPunct/>
              <w:topLinePunct w:val="0"/>
              <w:autoSpaceDE/>
              <w:autoSpaceDN/>
              <w:bidi w:val="0"/>
              <w:adjustRightInd/>
              <w:spacing w:line="240" w:lineRule="auto"/>
              <w:textAlignment w:val="auto"/>
              <w:rPr>
                <w:rFonts w:hint="default" w:ascii="Times New Roman" w:hAnsi="Times New Roman" w:cs="Times New Roman"/>
                <w:sz w:val="21"/>
                <w:szCs w:val="21"/>
              </w:rPr>
            </w:pPr>
          </w:p>
        </w:tc>
        <w:tc>
          <w:tcPr>
            <w:tcW w:w="2278" w:type="pct"/>
            <w:vAlign w:val="center"/>
          </w:tcPr>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1"/>
                <w:szCs w:val="21"/>
                <w:shd w:val="clear" w:color="auto" w:fill="FFFFFF"/>
              </w:rPr>
            </w:pPr>
            <w:r>
              <w:rPr>
                <w:rFonts w:hint="default" w:ascii="Times New Roman" w:hAnsi="Times New Roman" w:cs="Times New Roman"/>
                <w:sz w:val="21"/>
                <w:szCs w:val="21"/>
                <w:shd w:val="clear" w:color="auto" w:fill="FFFFFF"/>
              </w:rPr>
              <w:t>危险化学品专用仓库应当符合国家标准、行业标准的要求，并设置明显的标志。储存剧毒化学品、易制爆危险化学品的专用仓库，应当按照国家有关规定设置相应的技术防范设施。储存危险化学品的单位应当对其危险化学品专用仓库的安全设施、设备定期进行检测、检验。</w:t>
            </w:r>
          </w:p>
        </w:tc>
        <w:tc>
          <w:tcPr>
            <w:tcW w:w="1118" w:type="pct"/>
            <w:vAlign w:val="center"/>
          </w:tcPr>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1"/>
                <w:szCs w:val="21"/>
                <w:shd w:val="clear" w:color="auto" w:fill="FFFFFF"/>
              </w:rPr>
            </w:pPr>
            <w:r>
              <w:rPr>
                <w:rFonts w:hint="default" w:ascii="Times New Roman" w:hAnsi="Times New Roman" w:cs="Times New Roman"/>
                <w:sz w:val="21"/>
                <w:szCs w:val="21"/>
                <w:shd w:val="clear" w:color="auto" w:fill="FFFFFF"/>
              </w:rPr>
              <w:t>《危险化学品安全管理条例》第二十六条</w:t>
            </w:r>
          </w:p>
        </w:tc>
        <w:tc>
          <w:tcPr>
            <w:tcW w:w="484" w:type="pct"/>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1" w:type="pct"/>
            <w:vAlign w:val="center"/>
          </w:tcPr>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shd w:val="clear" w:color="auto" w:fill="FFFFFF"/>
              </w:rPr>
              <w:t>危险化学品专用仓库设置明显的标志。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keepNext w:val="0"/>
              <w:keepLines w:val="0"/>
              <w:pageBreakBefore w:val="0"/>
              <w:numPr>
                <w:ilvl w:val="0"/>
                <w:numId w:val="28"/>
              </w:numPr>
              <w:kinsoku/>
              <w:wordWrap/>
              <w:overflowPunct/>
              <w:topLinePunct w:val="0"/>
              <w:autoSpaceDE/>
              <w:autoSpaceDN/>
              <w:bidi w:val="0"/>
              <w:adjustRightInd/>
              <w:spacing w:line="240" w:lineRule="auto"/>
              <w:textAlignment w:val="auto"/>
              <w:rPr>
                <w:rFonts w:hint="default" w:ascii="Times New Roman" w:hAnsi="Times New Roman" w:cs="Times New Roman"/>
                <w:sz w:val="21"/>
                <w:szCs w:val="21"/>
              </w:rPr>
            </w:pPr>
          </w:p>
        </w:tc>
        <w:tc>
          <w:tcPr>
            <w:tcW w:w="2278" w:type="pct"/>
            <w:vAlign w:val="center"/>
          </w:tcPr>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1"/>
                <w:szCs w:val="21"/>
                <w:shd w:val="clear" w:color="auto" w:fill="FFFFFF"/>
              </w:rPr>
            </w:pPr>
            <w:r>
              <w:rPr>
                <w:rFonts w:hint="default" w:ascii="Times New Roman" w:hAnsi="Times New Roman" w:cs="Times New Roman"/>
                <w:sz w:val="21"/>
                <w:szCs w:val="21"/>
              </w:rPr>
              <w:t>贮存化学危险品的仓库必须配备有专业知识的技术人员，其库房及场所应设专人管理，管理人员必须配备可靠的个人安全防护用品。</w:t>
            </w:r>
          </w:p>
        </w:tc>
        <w:tc>
          <w:tcPr>
            <w:tcW w:w="1118" w:type="pct"/>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《常用化学危险品贮存通则》第4.4条</w:t>
            </w:r>
          </w:p>
        </w:tc>
        <w:tc>
          <w:tcPr>
            <w:tcW w:w="484" w:type="pct"/>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1" w:type="pct"/>
            <w:vAlign w:val="center"/>
          </w:tcPr>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t>仓库设专人管理，管理人员配备了可靠的个人安全防护用品。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keepNext w:val="0"/>
              <w:keepLines w:val="0"/>
              <w:pageBreakBefore w:val="0"/>
              <w:numPr>
                <w:ilvl w:val="0"/>
                <w:numId w:val="28"/>
              </w:numPr>
              <w:kinsoku/>
              <w:wordWrap/>
              <w:overflowPunct/>
              <w:topLinePunct w:val="0"/>
              <w:autoSpaceDE/>
              <w:autoSpaceDN/>
              <w:bidi w:val="0"/>
              <w:adjustRightInd/>
              <w:spacing w:line="240" w:lineRule="auto"/>
              <w:textAlignment w:val="auto"/>
              <w:rPr>
                <w:rFonts w:hint="default" w:ascii="Times New Roman" w:hAnsi="Times New Roman" w:cs="Times New Roman"/>
                <w:sz w:val="21"/>
                <w:szCs w:val="21"/>
              </w:rPr>
            </w:pPr>
          </w:p>
        </w:tc>
        <w:tc>
          <w:tcPr>
            <w:tcW w:w="2278" w:type="pct"/>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cs="Times New Roman"/>
                <w:sz w:val="21"/>
                <w:szCs w:val="21"/>
              </w:rPr>
            </w:pPr>
            <w:r>
              <w:rPr>
                <w:rFonts w:hint="default" w:ascii="Times New Roman" w:hAnsi="Times New Roman" w:cs="Times New Roman"/>
                <w:sz w:val="21"/>
                <w:szCs w:val="21"/>
              </w:rPr>
              <w:t>甲、乙、丙类液体储罐区，液化石油气储罐区，可燃、助燃气体储罐区和可燃材料堆场等，应布置在城市（区域）的边缘或相对独立的安全地带，并宜布置在城市（区域）全年最小频率风向的上风侧。</w:t>
            </w:r>
          </w:p>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1"/>
                <w:szCs w:val="21"/>
                <w:shd w:val="clear" w:color="auto" w:fill="FFFFFF"/>
              </w:rPr>
            </w:pPr>
            <w:r>
              <w:rPr>
                <w:rFonts w:hint="default" w:ascii="Times New Roman" w:hAnsi="Times New Roman" w:cs="Times New Roman"/>
                <w:sz w:val="21"/>
                <w:szCs w:val="21"/>
              </w:rPr>
              <w:t>甲、乙、丙类液体储罐（区），宜布置在地势较低的地带。当布置在地势较高的地带时，应采取安全措施。</w:t>
            </w:r>
          </w:p>
        </w:tc>
        <w:tc>
          <w:tcPr>
            <w:tcW w:w="1118"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《建筑设计防火规范》GB50016-2014</w:t>
            </w:r>
          </w:p>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第4.1.1条</w:t>
            </w:r>
          </w:p>
        </w:tc>
        <w:tc>
          <w:tcPr>
            <w:tcW w:w="484" w:type="pct"/>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1" w:type="pct"/>
            <w:vAlign w:val="center"/>
          </w:tcPr>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未涉及上述罐区。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3" w:type="pct"/>
          <w:jc w:val="center"/>
        </w:trPr>
        <w:tc>
          <w:tcPr>
            <w:tcW w:w="343" w:type="pct"/>
            <w:gridSpan w:val="2"/>
            <w:vAlign w:val="center"/>
          </w:tcPr>
          <w:p>
            <w:pPr>
              <w:keepNext w:val="0"/>
              <w:keepLines w:val="0"/>
              <w:pageBreakBefore w:val="0"/>
              <w:numPr>
                <w:ilvl w:val="0"/>
                <w:numId w:val="28"/>
              </w:numPr>
              <w:kinsoku/>
              <w:wordWrap/>
              <w:overflowPunct/>
              <w:topLinePunct w:val="0"/>
              <w:autoSpaceDE/>
              <w:autoSpaceDN/>
              <w:bidi w:val="0"/>
              <w:adjustRightInd/>
              <w:spacing w:line="240" w:lineRule="auto"/>
              <w:textAlignment w:val="auto"/>
              <w:rPr>
                <w:rFonts w:hint="default" w:ascii="Times New Roman" w:hAnsi="Times New Roman" w:cs="Times New Roman"/>
                <w:sz w:val="21"/>
                <w:szCs w:val="21"/>
              </w:rPr>
            </w:pPr>
          </w:p>
        </w:tc>
        <w:tc>
          <w:tcPr>
            <w:tcW w:w="2278" w:type="pct"/>
            <w:vAlign w:val="center"/>
          </w:tcPr>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1"/>
                <w:szCs w:val="21"/>
                <w:shd w:val="clear" w:color="auto" w:fill="FFFFFF"/>
              </w:rPr>
            </w:pPr>
            <w:r>
              <w:rPr>
                <w:rFonts w:hint="default" w:ascii="Times New Roman" w:hAnsi="Times New Roman" w:cs="Times New Roman"/>
                <w:sz w:val="21"/>
                <w:szCs w:val="21"/>
              </w:rPr>
              <w:t>甲、乙、丙类液体储罐区，液化石油气储罐区，可燃、助燃气体储罐区和可燃材料堆场，应与装卸区、辅助生产区及办公区分开布置。</w:t>
            </w:r>
          </w:p>
        </w:tc>
        <w:tc>
          <w:tcPr>
            <w:tcW w:w="1118" w:type="pct"/>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《建筑设计防火规范》GB50016-2014</w:t>
            </w:r>
          </w:p>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第4.1.4条</w:t>
            </w:r>
          </w:p>
        </w:tc>
        <w:tc>
          <w:tcPr>
            <w:tcW w:w="484" w:type="pct"/>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1" w:type="pct"/>
            <w:vAlign w:val="center"/>
          </w:tcPr>
          <w:p>
            <w:pPr>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cs="Times New Roman"/>
                <w:sz w:val="21"/>
                <w:szCs w:val="21"/>
                <w:shd w:val="clear" w:color="auto" w:fill="FFFFFF"/>
              </w:rPr>
            </w:pPr>
            <w:r>
              <w:rPr>
                <w:rFonts w:hint="default" w:ascii="Times New Roman" w:hAnsi="Times New Roman" w:cs="Times New Roman"/>
                <w:kern w:val="0"/>
                <w:sz w:val="21"/>
                <w:szCs w:val="21"/>
              </w:rPr>
              <w:t>未涉及上述罐区。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numPr>
                <w:ilvl w:val="0"/>
                <w:numId w:val="28"/>
              </w:numPr>
              <w:spacing w:line="240" w:lineRule="auto"/>
              <w:rPr>
                <w:rFonts w:hint="default" w:ascii="Times New Roman" w:hAnsi="Times New Roman" w:cs="Times New Roman"/>
                <w:sz w:val="21"/>
                <w:szCs w:val="21"/>
              </w:rPr>
            </w:pPr>
          </w:p>
        </w:tc>
        <w:tc>
          <w:tcPr>
            <w:tcW w:w="2278" w:type="pct"/>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堆垛间距：</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a）主通道大于等于180cm；</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b）支通道大于等于80cm；</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c）墙距大于等于30cm；</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d）柱距大于等于10cm；</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e）垛距大于等于10cm；</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f）顶距大于等于50cm。</w:t>
            </w:r>
          </w:p>
        </w:tc>
        <w:tc>
          <w:tcPr>
            <w:tcW w:w="111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GB17914-2013第6.2条</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GB17915-2013</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第5.2.4条</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GB17916-2013</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第6.3条</w:t>
            </w:r>
          </w:p>
        </w:tc>
        <w:tc>
          <w:tcPr>
            <w:tcW w:w="48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1"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堆垛之间距离满足要求。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numPr>
                <w:ilvl w:val="0"/>
                <w:numId w:val="28"/>
              </w:numPr>
              <w:spacing w:line="240" w:lineRule="auto"/>
              <w:rPr>
                <w:rFonts w:hint="default" w:ascii="Times New Roman" w:hAnsi="Times New Roman" w:cs="Times New Roman"/>
                <w:sz w:val="21"/>
                <w:szCs w:val="21"/>
              </w:rPr>
            </w:pPr>
          </w:p>
        </w:tc>
        <w:tc>
          <w:tcPr>
            <w:tcW w:w="2278" w:type="pct"/>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可能产生静电危害的工作场所，应配置个人防静电防护用品。重点防火、防爆作业区的人口处，应设计人体导除静电装置。</w:t>
            </w:r>
          </w:p>
        </w:tc>
        <w:tc>
          <w:tcPr>
            <w:tcW w:w="1118" w:type="pct"/>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《化工企业安全卫生设计规范》4.2.10</w:t>
            </w:r>
          </w:p>
        </w:tc>
        <w:tc>
          <w:tcPr>
            <w:tcW w:w="484" w:type="pct"/>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符合</w:t>
            </w:r>
          </w:p>
        </w:tc>
        <w:tc>
          <w:tcPr>
            <w:tcW w:w="771" w:type="pct"/>
            <w:vAlign w:val="center"/>
          </w:tcPr>
          <w:p>
            <w:pPr>
              <w:pStyle w:val="70"/>
              <w:spacing w:before="0" w:beforeAutospacing="0" w:after="0" w:afterAutospacing="0" w:line="240" w:lineRule="auto"/>
              <w:rPr>
                <w:rFonts w:hint="default" w:ascii="Times New Roman" w:hAnsi="Times New Roman" w:cs="Times New Roman"/>
                <w:kern w:val="2"/>
                <w:sz w:val="21"/>
                <w:szCs w:val="21"/>
                <w:lang w:val="en-US" w:eastAsia="zh-CN"/>
              </w:rPr>
            </w:pPr>
            <w:r>
              <w:rPr>
                <w:rFonts w:hint="default" w:ascii="Times New Roman" w:hAnsi="Times New Roman" w:cs="Times New Roman"/>
                <w:kern w:val="0"/>
                <w:sz w:val="21"/>
                <w:szCs w:val="21"/>
                <w:lang w:val="en-US" w:eastAsia="zh-CN" w:bidi="ar-SA"/>
              </w:rPr>
              <w:t>不涉及产生静电危害的工作场所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numPr>
                <w:ilvl w:val="0"/>
                <w:numId w:val="28"/>
              </w:numPr>
              <w:spacing w:line="240" w:lineRule="auto"/>
              <w:rPr>
                <w:rFonts w:hint="default" w:ascii="Times New Roman" w:hAnsi="Times New Roman" w:cs="Times New Roman"/>
                <w:sz w:val="21"/>
                <w:szCs w:val="21"/>
              </w:rPr>
            </w:pPr>
          </w:p>
        </w:tc>
        <w:tc>
          <w:tcPr>
            <w:tcW w:w="2278" w:type="pct"/>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根据商品性质、包装规格采用适当的堆垛方法、要求货垛整齐，堆码牢固、数量准确，不应倒置。</w:t>
            </w:r>
          </w:p>
        </w:tc>
        <w:tc>
          <w:tcPr>
            <w:tcW w:w="1118" w:type="pct"/>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《腐蚀性商品储存与养护技术条件》5.2.2.2</w:t>
            </w:r>
          </w:p>
        </w:tc>
        <w:tc>
          <w:tcPr>
            <w:tcW w:w="484" w:type="pct"/>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符合</w:t>
            </w:r>
          </w:p>
        </w:tc>
        <w:tc>
          <w:tcPr>
            <w:tcW w:w="771" w:type="pct"/>
            <w:vAlign w:val="center"/>
          </w:tcPr>
          <w:p>
            <w:pPr>
              <w:pStyle w:val="70"/>
              <w:spacing w:before="0" w:beforeAutospacing="0" w:after="0" w:afterAutospacing="0" w:line="240" w:lineRule="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货垛整齐，堆码牢固、数量准确，未倒置。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numPr>
                <w:ilvl w:val="0"/>
                <w:numId w:val="28"/>
              </w:numPr>
              <w:spacing w:line="240" w:lineRule="auto"/>
              <w:rPr>
                <w:rFonts w:hint="default" w:ascii="Times New Roman" w:hAnsi="Times New Roman" w:cs="Times New Roman"/>
                <w:sz w:val="21"/>
                <w:szCs w:val="21"/>
              </w:rPr>
            </w:pPr>
          </w:p>
        </w:tc>
        <w:tc>
          <w:tcPr>
            <w:tcW w:w="2278" w:type="pct"/>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应为作业提供必要的安全可靠的机械、工具和设备，并保证。</w:t>
            </w:r>
          </w:p>
        </w:tc>
        <w:tc>
          <w:tcPr>
            <w:tcW w:w="1118" w:type="pct"/>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《危险化学品储罐区作业安全通则》 4.3</w:t>
            </w:r>
          </w:p>
        </w:tc>
        <w:tc>
          <w:tcPr>
            <w:tcW w:w="484" w:type="pct"/>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符合</w:t>
            </w:r>
          </w:p>
        </w:tc>
        <w:tc>
          <w:tcPr>
            <w:tcW w:w="771" w:type="pct"/>
            <w:vAlign w:val="center"/>
          </w:tcPr>
          <w:p>
            <w:pPr>
              <w:pStyle w:val="70"/>
              <w:spacing w:before="0" w:beforeAutospacing="0" w:after="0" w:afterAutospacing="0" w:line="240" w:lineRule="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提供必要的完好、安全可靠的机械、工具和设备。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numPr>
                <w:ilvl w:val="0"/>
                <w:numId w:val="28"/>
              </w:numPr>
              <w:spacing w:line="240" w:lineRule="auto"/>
              <w:rPr>
                <w:rFonts w:hint="default" w:ascii="Times New Roman" w:hAnsi="Times New Roman" w:cs="Times New Roman"/>
                <w:sz w:val="21"/>
                <w:szCs w:val="21"/>
              </w:rPr>
            </w:pPr>
          </w:p>
        </w:tc>
        <w:tc>
          <w:tcPr>
            <w:tcW w:w="2278" w:type="pct"/>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应按GB16179 和GB2894 的规定设置安全标志。同时设置危险危害告知牌。</w:t>
            </w:r>
          </w:p>
        </w:tc>
        <w:tc>
          <w:tcPr>
            <w:tcW w:w="1118" w:type="pct"/>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《危险化学品储罐区作业安全通则》4.4</w:t>
            </w:r>
          </w:p>
        </w:tc>
        <w:tc>
          <w:tcPr>
            <w:tcW w:w="484" w:type="pct"/>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符合</w:t>
            </w:r>
          </w:p>
        </w:tc>
        <w:tc>
          <w:tcPr>
            <w:tcW w:w="771" w:type="pct"/>
            <w:vAlign w:val="center"/>
          </w:tcPr>
          <w:p>
            <w:pPr>
              <w:pStyle w:val="70"/>
              <w:spacing w:before="0" w:beforeAutospacing="0" w:after="0" w:afterAutospacing="0" w:line="240" w:lineRule="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设置安全标志，同时设置危险危害告知牌。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3" w:type="pct"/>
          <w:jc w:val="center"/>
        </w:trPr>
        <w:tc>
          <w:tcPr>
            <w:tcW w:w="343" w:type="pct"/>
            <w:gridSpan w:val="2"/>
            <w:vAlign w:val="center"/>
          </w:tcPr>
          <w:p>
            <w:pPr>
              <w:numPr>
                <w:ilvl w:val="0"/>
                <w:numId w:val="28"/>
              </w:numPr>
              <w:spacing w:line="240" w:lineRule="auto"/>
              <w:rPr>
                <w:rFonts w:hint="default" w:ascii="Times New Roman" w:hAnsi="Times New Roman" w:cs="Times New Roman"/>
                <w:sz w:val="21"/>
                <w:szCs w:val="21"/>
              </w:rPr>
            </w:pPr>
          </w:p>
        </w:tc>
        <w:tc>
          <w:tcPr>
            <w:tcW w:w="2278" w:type="pct"/>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现场定点存放的防护器具应有专人负责保管，经常检查、维护和定期校验。</w:t>
            </w:r>
          </w:p>
        </w:tc>
        <w:tc>
          <w:tcPr>
            <w:tcW w:w="1118" w:type="pct"/>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《危险化学品储罐区作业安全通则》4.6.3</w:t>
            </w:r>
          </w:p>
        </w:tc>
        <w:tc>
          <w:tcPr>
            <w:tcW w:w="484" w:type="pct"/>
            <w:vAlign w:val="center"/>
          </w:tcPr>
          <w:p>
            <w:pPr>
              <w:pStyle w:val="70"/>
              <w:spacing w:before="0" w:beforeAutospacing="0" w:after="0" w:afterAutospacing="0" w:line="240" w:lineRule="auto"/>
              <w:rPr>
                <w:rFonts w:hint="default" w:ascii="Times New Roman" w:hAnsi="Times New Roman" w:cs="Times New Roman"/>
                <w:kern w:val="2"/>
                <w:sz w:val="21"/>
                <w:szCs w:val="21"/>
                <w:lang w:eastAsia="zh-CN"/>
              </w:rPr>
            </w:pPr>
            <w:r>
              <w:rPr>
                <w:rFonts w:hint="default" w:ascii="Times New Roman" w:hAnsi="Times New Roman" w:cs="Times New Roman"/>
                <w:kern w:val="2"/>
                <w:sz w:val="21"/>
                <w:szCs w:val="21"/>
                <w:lang w:eastAsia="zh-CN"/>
              </w:rPr>
              <w:t>符合</w:t>
            </w:r>
          </w:p>
        </w:tc>
        <w:tc>
          <w:tcPr>
            <w:tcW w:w="771" w:type="pct"/>
            <w:vAlign w:val="center"/>
          </w:tcPr>
          <w:p>
            <w:pPr>
              <w:pStyle w:val="70"/>
              <w:spacing w:before="0" w:beforeAutospacing="0" w:after="0" w:afterAutospacing="0" w:line="240" w:lineRule="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现场定点存放的防护器具有专人负责保管，经常检查、维护和定期校验。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二</w:t>
            </w:r>
          </w:p>
        </w:tc>
        <w:tc>
          <w:tcPr>
            <w:tcW w:w="227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运输装卸</w:t>
            </w:r>
          </w:p>
        </w:tc>
        <w:tc>
          <w:tcPr>
            <w:tcW w:w="1118" w:type="pct"/>
            <w:vAlign w:val="center"/>
          </w:tcPr>
          <w:p>
            <w:pPr>
              <w:spacing w:line="240" w:lineRule="auto"/>
              <w:rPr>
                <w:rFonts w:hint="default" w:ascii="Times New Roman" w:hAnsi="Times New Roman" w:cs="Times New Roman"/>
                <w:sz w:val="21"/>
                <w:szCs w:val="21"/>
              </w:rPr>
            </w:pPr>
          </w:p>
        </w:tc>
        <w:tc>
          <w:tcPr>
            <w:tcW w:w="484" w:type="pct"/>
            <w:vAlign w:val="center"/>
          </w:tcPr>
          <w:p>
            <w:pPr>
              <w:spacing w:line="240" w:lineRule="auto"/>
              <w:jc w:val="center"/>
              <w:rPr>
                <w:rFonts w:hint="default" w:ascii="Times New Roman" w:hAnsi="Times New Roman" w:cs="Times New Roman"/>
                <w:sz w:val="21"/>
                <w:szCs w:val="21"/>
              </w:rPr>
            </w:pPr>
          </w:p>
        </w:tc>
        <w:tc>
          <w:tcPr>
            <w:tcW w:w="771" w:type="pct"/>
            <w:vAlign w:val="center"/>
          </w:tcPr>
          <w:p>
            <w:pPr>
              <w:spacing w:line="240" w:lineRule="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numPr>
                <w:ilvl w:val="0"/>
                <w:numId w:val="28"/>
              </w:numPr>
              <w:spacing w:line="240" w:lineRule="auto"/>
              <w:jc w:val="center"/>
              <w:rPr>
                <w:rFonts w:hint="default" w:ascii="Times New Roman" w:hAnsi="Times New Roman" w:cs="Times New Roman"/>
                <w:sz w:val="21"/>
                <w:szCs w:val="21"/>
              </w:rPr>
            </w:pPr>
          </w:p>
          <w:p>
            <w:pPr>
              <w:spacing w:line="240" w:lineRule="auto"/>
              <w:jc w:val="center"/>
              <w:rPr>
                <w:rFonts w:hint="default" w:ascii="Times New Roman" w:hAnsi="Times New Roman" w:cs="Times New Roman"/>
                <w:sz w:val="21"/>
                <w:szCs w:val="21"/>
              </w:rPr>
            </w:pPr>
          </w:p>
        </w:tc>
        <w:tc>
          <w:tcPr>
            <w:tcW w:w="2278" w:type="pct"/>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装卸、搬运化学危险品时应按有关规定进行，做到轻装、轻卸。严禁摔、碰、撞、击、拖拉、倾倒和滚动。</w:t>
            </w:r>
          </w:p>
        </w:tc>
        <w:tc>
          <w:tcPr>
            <w:tcW w:w="111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《常用化学危险品贮存通则》GB 15603-1995第8.4条</w:t>
            </w:r>
          </w:p>
        </w:tc>
        <w:tc>
          <w:tcPr>
            <w:tcW w:w="48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1" w:type="pct"/>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现场检查时：装卸、搬运化学危险品按有关规定进行。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numPr>
                <w:ilvl w:val="0"/>
                <w:numId w:val="28"/>
              </w:numPr>
              <w:spacing w:line="240" w:lineRule="auto"/>
              <w:rPr>
                <w:rFonts w:hint="default" w:ascii="Times New Roman" w:hAnsi="Times New Roman" w:cs="Times New Roman"/>
                <w:sz w:val="21"/>
                <w:szCs w:val="21"/>
              </w:rPr>
            </w:pPr>
          </w:p>
        </w:tc>
        <w:tc>
          <w:tcPr>
            <w:tcW w:w="2278" w:type="pct"/>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装卸对人身有毒害及腐蚀性的物品时，操作人员应根据危险性，穿戴相应的防护用品。</w:t>
            </w:r>
          </w:p>
        </w:tc>
        <w:tc>
          <w:tcPr>
            <w:tcW w:w="111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《常用化学危险品贮存通则》GB 15603-1995第8.5条</w:t>
            </w:r>
          </w:p>
        </w:tc>
        <w:tc>
          <w:tcPr>
            <w:tcW w:w="48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1" w:type="pct"/>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现场检查时操作人员穿戴相应的防护用品。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numPr>
                <w:ilvl w:val="0"/>
                <w:numId w:val="28"/>
              </w:numPr>
              <w:spacing w:line="240" w:lineRule="auto"/>
              <w:rPr>
                <w:rFonts w:hint="default" w:ascii="Times New Roman" w:hAnsi="Times New Roman" w:cs="Times New Roman"/>
                <w:sz w:val="21"/>
                <w:szCs w:val="21"/>
              </w:rPr>
            </w:pPr>
          </w:p>
        </w:tc>
        <w:tc>
          <w:tcPr>
            <w:tcW w:w="2278" w:type="pct"/>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通过道路运输危险化学品的，托运人应当委托依法取得危险货物道路运输许可的企业承运。</w:t>
            </w:r>
          </w:p>
        </w:tc>
        <w:tc>
          <w:tcPr>
            <w:tcW w:w="111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《危险化学品安全管理条例》第四十六条</w:t>
            </w:r>
          </w:p>
        </w:tc>
        <w:tc>
          <w:tcPr>
            <w:tcW w:w="48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1" w:type="pct"/>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pacing w:val="-6"/>
                <w:sz w:val="21"/>
                <w:szCs w:val="21"/>
              </w:rPr>
              <w:t>委托依法取得危险货物道路运输许可的企业承运。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numPr>
                <w:ilvl w:val="0"/>
                <w:numId w:val="28"/>
              </w:numPr>
              <w:spacing w:line="240" w:lineRule="auto"/>
              <w:rPr>
                <w:rFonts w:hint="default" w:ascii="Times New Roman" w:hAnsi="Times New Roman" w:cs="Times New Roman"/>
                <w:sz w:val="21"/>
                <w:szCs w:val="21"/>
              </w:rPr>
            </w:pPr>
          </w:p>
        </w:tc>
        <w:tc>
          <w:tcPr>
            <w:tcW w:w="2278" w:type="pct"/>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通过水路运输危险化学品的，应当遵守法律、行政法规以及国务院交通运输主管部门关于危险货物水路运输安全的规定。</w:t>
            </w:r>
          </w:p>
        </w:tc>
        <w:tc>
          <w:tcPr>
            <w:tcW w:w="111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《危险化学品安全管理条例》第五十二条</w:t>
            </w:r>
          </w:p>
        </w:tc>
        <w:tc>
          <w:tcPr>
            <w:tcW w:w="48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1" w:type="pct"/>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未使用水路运输。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jc w:val="center"/>
        </w:trPr>
        <w:tc>
          <w:tcPr>
            <w:tcW w:w="343" w:type="pct"/>
            <w:gridSpan w:val="2"/>
            <w:vAlign w:val="center"/>
          </w:tcPr>
          <w:p>
            <w:pPr>
              <w:numPr>
                <w:ilvl w:val="0"/>
                <w:numId w:val="28"/>
              </w:numPr>
              <w:spacing w:line="240" w:lineRule="auto"/>
              <w:rPr>
                <w:rFonts w:hint="default" w:ascii="Times New Roman" w:hAnsi="Times New Roman" w:cs="Times New Roman"/>
                <w:spacing w:val="-8"/>
                <w:sz w:val="21"/>
                <w:szCs w:val="21"/>
              </w:rPr>
            </w:pPr>
          </w:p>
        </w:tc>
        <w:tc>
          <w:tcPr>
            <w:tcW w:w="2278" w:type="pct"/>
            <w:vAlign w:val="center"/>
          </w:tcPr>
          <w:p>
            <w:pPr>
              <w:spacing w:line="240" w:lineRule="auto"/>
              <w:rPr>
                <w:rFonts w:hint="default" w:ascii="Times New Roman" w:hAnsi="Times New Roman" w:cs="Times New Roman"/>
                <w:spacing w:val="-8"/>
                <w:sz w:val="21"/>
                <w:szCs w:val="21"/>
              </w:rPr>
            </w:pPr>
            <w:r>
              <w:rPr>
                <w:rFonts w:hint="default" w:ascii="Times New Roman" w:hAnsi="Times New Roman" w:cs="Times New Roman"/>
                <w:spacing w:val="-8"/>
                <w:sz w:val="21"/>
                <w:szCs w:val="21"/>
              </w:rPr>
              <w:t>通过内河运输危险化学品，应当由依法取得危险货物水路运输许可的水路运输企业承运，其他单位和个人不得承运。托运人应当委托依法取得危险货物水路运输许可的水路运输企业承运，不得委托其他单位和个人承运。</w:t>
            </w:r>
          </w:p>
        </w:tc>
        <w:tc>
          <w:tcPr>
            <w:tcW w:w="1118" w:type="pct"/>
            <w:vAlign w:val="center"/>
          </w:tcPr>
          <w:p>
            <w:pPr>
              <w:spacing w:line="240" w:lineRule="auto"/>
              <w:jc w:val="center"/>
              <w:rPr>
                <w:rFonts w:hint="default" w:ascii="Times New Roman" w:hAnsi="Times New Roman" w:cs="Times New Roman"/>
                <w:spacing w:val="-8"/>
                <w:sz w:val="21"/>
                <w:szCs w:val="21"/>
              </w:rPr>
            </w:pPr>
            <w:r>
              <w:rPr>
                <w:rFonts w:hint="default" w:ascii="Times New Roman" w:hAnsi="Times New Roman" w:cs="Times New Roman"/>
                <w:spacing w:val="-8"/>
                <w:sz w:val="21"/>
                <w:szCs w:val="21"/>
              </w:rPr>
              <w:t>《危险化学品安全管理条例》第五十六条</w:t>
            </w:r>
          </w:p>
        </w:tc>
        <w:tc>
          <w:tcPr>
            <w:tcW w:w="484" w:type="pct"/>
            <w:vAlign w:val="center"/>
          </w:tcPr>
          <w:p>
            <w:pPr>
              <w:spacing w:line="240" w:lineRule="auto"/>
              <w:jc w:val="center"/>
              <w:rPr>
                <w:rFonts w:hint="default" w:ascii="Times New Roman" w:hAnsi="Times New Roman" w:cs="Times New Roman"/>
                <w:spacing w:val="-8"/>
                <w:sz w:val="21"/>
                <w:szCs w:val="21"/>
              </w:rPr>
            </w:pPr>
            <w:r>
              <w:rPr>
                <w:rFonts w:hint="default" w:ascii="Times New Roman" w:hAnsi="Times New Roman" w:cs="Times New Roman"/>
                <w:spacing w:val="-8"/>
                <w:sz w:val="21"/>
                <w:szCs w:val="21"/>
              </w:rPr>
              <w:t>符合</w:t>
            </w:r>
          </w:p>
        </w:tc>
        <w:tc>
          <w:tcPr>
            <w:tcW w:w="771" w:type="pct"/>
            <w:vAlign w:val="center"/>
          </w:tcPr>
          <w:p>
            <w:pPr>
              <w:spacing w:line="240" w:lineRule="auto"/>
              <w:rPr>
                <w:rFonts w:hint="default" w:ascii="Times New Roman" w:hAnsi="Times New Roman" w:cs="Times New Roman"/>
                <w:spacing w:val="-8"/>
                <w:sz w:val="21"/>
                <w:szCs w:val="21"/>
              </w:rPr>
            </w:pPr>
            <w:r>
              <w:rPr>
                <w:rFonts w:hint="default" w:ascii="Times New Roman" w:hAnsi="Times New Roman" w:cs="Times New Roman"/>
                <w:spacing w:val="-8"/>
                <w:sz w:val="21"/>
                <w:szCs w:val="21"/>
              </w:rPr>
              <w:t>未使用水路运输。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三</w:t>
            </w:r>
          </w:p>
        </w:tc>
        <w:tc>
          <w:tcPr>
            <w:tcW w:w="2289"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包装</w:t>
            </w:r>
          </w:p>
        </w:tc>
        <w:tc>
          <w:tcPr>
            <w:tcW w:w="1118" w:type="pct"/>
            <w:vAlign w:val="center"/>
          </w:tcPr>
          <w:p>
            <w:pPr>
              <w:spacing w:line="240" w:lineRule="auto"/>
              <w:jc w:val="center"/>
              <w:rPr>
                <w:rFonts w:hint="default" w:ascii="Times New Roman" w:hAnsi="Times New Roman" w:cs="Times New Roman"/>
                <w:sz w:val="21"/>
                <w:szCs w:val="21"/>
              </w:rPr>
            </w:pPr>
          </w:p>
        </w:tc>
        <w:tc>
          <w:tcPr>
            <w:tcW w:w="484" w:type="pct"/>
            <w:vAlign w:val="center"/>
          </w:tcPr>
          <w:p>
            <w:pPr>
              <w:spacing w:line="240" w:lineRule="auto"/>
              <w:jc w:val="center"/>
              <w:rPr>
                <w:rFonts w:hint="default" w:ascii="Times New Roman" w:hAnsi="Times New Roman" w:cs="Times New Roman"/>
                <w:sz w:val="21"/>
                <w:szCs w:val="21"/>
              </w:rPr>
            </w:pPr>
          </w:p>
        </w:tc>
        <w:tc>
          <w:tcPr>
            <w:tcW w:w="775" w:type="pct"/>
            <w:gridSpan w:val="2"/>
            <w:vAlign w:val="center"/>
          </w:tcPr>
          <w:p>
            <w:pPr>
              <w:spacing w:line="240" w:lineRule="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pPr>
              <w:numPr>
                <w:ilvl w:val="0"/>
                <w:numId w:val="28"/>
              </w:numPr>
              <w:spacing w:line="240" w:lineRule="auto"/>
              <w:jc w:val="center"/>
              <w:rPr>
                <w:rFonts w:hint="default" w:ascii="Times New Roman" w:hAnsi="Times New Roman" w:cs="Times New Roman"/>
                <w:sz w:val="21"/>
                <w:szCs w:val="21"/>
              </w:rPr>
            </w:pPr>
          </w:p>
        </w:tc>
        <w:tc>
          <w:tcPr>
            <w:tcW w:w="2289"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危险化学品的包装应当符合法律、行政法规、规章的规定以及国家标准、行业标准的要求。危险化学品包装物、容器的材质以及危险化学品包装的型式、规格、方法和单件质量（重量），应当与所包装的危险化学品的性质和用途相适应。</w:t>
            </w:r>
          </w:p>
        </w:tc>
        <w:tc>
          <w:tcPr>
            <w:tcW w:w="111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《危险化学品安全管理条例》第十七条</w:t>
            </w:r>
          </w:p>
        </w:tc>
        <w:tc>
          <w:tcPr>
            <w:tcW w:w="48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5"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包装符合国家法律、法规、规章的规定和国家标准的要求。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pPr>
              <w:numPr>
                <w:ilvl w:val="0"/>
                <w:numId w:val="28"/>
              </w:numPr>
              <w:spacing w:line="240" w:lineRule="auto"/>
              <w:jc w:val="center"/>
              <w:rPr>
                <w:rFonts w:hint="default" w:ascii="Times New Roman" w:hAnsi="Times New Roman" w:cs="Times New Roman"/>
                <w:sz w:val="21"/>
                <w:szCs w:val="21"/>
              </w:rPr>
            </w:pPr>
          </w:p>
        </w:tc>
        <w:tc>
          <w:tcPr>
            <w:tcW w:w="2289"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生产经营单位使用的危险物品的容器、运输工具，必须按照国家有关规定，由专业生产单位生产，并经取得专业资质的检测、检验机构检测、检验合格，取得安全使用证或者安全标志，方可投入使用。</w:t>
            </w:r>
          </w:p>
        </w:tc>
        <w:tc>
          <w:tcPr>
            <w:tcW w:w="111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《安全生产法》第三十七条</w:t>
            </w:r>
          </w:p>
        </w:tc>
        <w:tc>
          <w:tcPr>
            <w:tcW w:w="48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5"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危险化学品的包装物、容器由专业生产企业定点生产。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pPr>
              <w:numPr>
                <w:ilvl w:val="0"/>
                <w:numId w:val="28"/>
              </w:numPr>
              <w:spacing w:line="240" w:lineRule="auto"/>
              <w:rPr>
                <w:rFonts w:hint="default" w:ascii="Times New Roman" w:hAnsi="Times New Roman" w:cs="Times New Roman"/>
                <w:sz w:val="21"/>
                <w:szCs w:val="21"/>
              </w:rPr>
            </w:pPr>
          </w:p>
        </w:tc>
        <w:tc>
          <w:tcPr>
            <w:tcW w:w="2289"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生产列入国家实行生产许可证制度的工业产品目录的危险化学品包装物、容器的企业，应当依照《中华人民共和国工业产品生产许可证管理条例》的规定，取得工业产品生产许可证；其生产的危险化学品包装物、容器经国务院质量监督检验检疫部门认定的检验机构检验合格，方可出厂销售。</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运输危险化学品的船舶及其配载的容器，应当按照国家船舶检验规范进行生产，并经海事管理机构认定的船舶检验机构检验合格，方可投入使用。</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对重复使用的危险化学品包装物、容器，使用单位在重复使用前应当进行检查；发现存在安全隐患的，应当维修或者更换。使用单位应当对检查情况作出记录，记录的保存期限不得少于2年。</w:t>
            </w:r>
          </w:p>
        </w:tc>
        <w:tc>
          <w:tcPr>
            <w:tcW w:w="111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《危险化学品安全管理条例》第十八条</w:t>
            </w:r>
          </w:p>
        </w:tc>
        <w:tc>
          <w:tcPr>
            <w:tcW w:w="48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5"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危险化学品的包装物、容器由专业生产企业定点生产。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pPr>
              <w:numPr>
                <w:ilvl w:val="0"/>
                <w:numId w:val="28"/>
              </w:numPr>
              <w:spacing w:line="240" w:lineRule="auto"/>
              <w:rPr>
                <w:rFonts w:hint="default" w:ascii="Times New Roman" w:hAnsi="Times New Roman" w:cs="Times New Roman"/>
                <w:sz w:val="21"/>
                <w:szCs w:val="21"/>
              </w:rPr>
            </w:pPr>
          </w:p>
        </w:tc>
        <w:tc>
          <w:tcPr>
            <w:tcW w:w="2289"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危险化学品生产企业应当提供与其生产的危险化学品相符的化学品安全技术说明书，并在危险化学品包装（包括外包装件）上粘贴或者拴挂与包装内危险化学品相符的化学品安全标签。化学品安全技术说明书和化学品安全标签所载明的内容应当符合国家标准的要求。</w:t>
            </w:r>
          </w:p>
        </w:tc>
        <w:tc>
          <w:tcPr>
            <w:tcW w:w="111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《危险化学品安全管理条例》第十五条</w:t>
            </w:r>
          </w:p>
        </w:tc>
        <w:tc>
          <w:tcPr>
            <w:tcW w:w="48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5"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包装内附有与产品一致的化学品安全技术说明书和化学品安全标签。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pPr>
              <w:numPr>
                <w:ilvl w:val="0"/>
                <w:numId w:val="28"/>
              </w:numPr>
              <w:spacing w:line="240" w:lineRule="auto"/>
              <w:rPr>
                <w:rFonts w:hint="default" w:ascii="Times New Roman" w:hAnsi="Times New Roman" w:cs="Times New Roman"/>
                <w:sz w:val="21"/>
                <w:szCs w:val="21"/>
              </w:rPr>
            </w:pPr>
          </w:p>
        </w:tc>
        <w:tc>
          <w:tcPr>
            <w:tcW w:w="2289"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化学物品包装应标记物品名称、牌号、生产及储存日期。具有危险或有害化学物品，必须附有合格证、明显标志和符合规定的包装。</w:t>
            </w:r>
          </w:p>
        </w:tc>
        <w:tc>
          <w:tcPr>
            <w:tcW w:w="111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《化工企业安全卫生设计规范》</w:t>
            </w:r>
          </w:p>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第4.5.3.2条</w:t>
            </w:r>
          </w:p>
        </w:tc>
        <w:tc>
          <w:tcPr>
            <w:tcW w:w="48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5"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包装标记物品名称、牌号、生产及储存日期。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pPr>
              <w:numPr>
                <w:ilvl w:val="0"/>
                <w:numId w:val="28"/>
              </w:numPr>
              <w:spacing w:line="240" w:lineRule="auto"/>
              <w:rPr>
                <w:rFonts w:hint="default" w:ascii="Times New Roman" w:hAnsi="Times New Roman" w:cs="Times New Roman"/>
                <w:sz w:val="21"/>
                <w:szCs w:val="21"/>
              </w:rPr>
            </w:pPr>
          </w:p>
        </w:tc>
        <w:tc>
          <w:tcPr>
            <w:tcW w:w="2289"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腐蚀性物品，包装必须严密，不允许泄漏，严禁与液化气体和其他物品共存。</w:t>
            </w:r>
          </w:p>
        </w:tc>
        <w:tc>
          <w:tcPr>
            <w:tcW w:w="1118"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《常用化学危险品贮存通则》第6.9条</w:t>
            </w:r>
          </w:p>
        </w:tc>
        <w:tc>
          <w:tcPr>
            <w:tcW w:w="48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5"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包装严密，未与禁忌物混存。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pPr>
              <w:numPr>
                <w:ilvl w:val="0"/>
                <w:numId w:val="0"/>
              </w:numPr>
              <w:spacing w:line="240" w:lineRule="auto"/>
              <w:ind w:leftChars="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四</w:t>
            </w:r>
          </w:p>
        </w:tc>
        <w:tc>
          <w:tcPr>
            <w:tcW w:w="4667" w:type="pct"/>
            <w:gridSpan w:val="6"/>
            <w:vAlign w:val="center"/>
          </w:tcPr>
          <w:p>
            <w:pPr>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重点监管危险化学品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pPr>
              <w:numPr>
                <w:ilvl w:val="0"/>
                <w:numId w:val="28"/>
              </w:numPr>
              <w:spacing w:line="240" w:lineRule="auto"/>
              <w:rPr>
                <w:rFonts w:hint="default" w:ascii="Times New Roman" w:hAnsi="Times New Roman" w:cs="Times New Roman"/>
                <w:sz w:val="21"/>
                <w:szCs w:val="21"/>
              </w:rPr>
            </w:pPr>
          </w:p>
        </w:tc>
        <w:tc>
          <w:tcPr>
            <w:tcW w:w="2289"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储存于阴凉、干燥、通风良好的专用库房内。库房温度不宜超过30℃。包装要求密封。氢氟酸若留存时间长，则因少量水分的作用而发生聚合，生成黑褐色的聚合物。由于聚合是放热反应，且有自动催化作用，有时会突然爆炸，为此，储存时要特别小心，贮存时间不宜太长，并注意添加稳定剂。</w:t>
            </w:r>
          </w:p>
        </w:tc>
        <w:tc>
          <w:tcPr>
            <w:tcW w:w="1118" w:type="pct"/>
            <w:vMerge w:val="restart"/>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《首批重点监管的危险化学品安全措施和应急处置原则》</w:t>
            </w:r>
            <w:r>
              <w:rPr>
                <w:rFonts w:hint="default" w:ascii="Times New Roman" w:hAnsi="Times New Roman" w:cs="Times New Roman"/>
                <w:sz w:val="21"/>
                <w:szCs w:val="21"/>
                <w:lang w:val="en-US" w:eastAsia="zh-CN"/>
              </w:rPr>
              <w:t>氢氟酸</w:t>
            </w:r>
          </w:p>
        </w:tc>
        <w:tc>
          <w:tcPr>
            <w:tcW w:w="484" w:type="pct"/>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符合</w:t>
            </w:r>
          </w:p>
        </w:tc>
        <w:tc>
          <w:tcPr>
            <w:tcW w:w="775" w:type="pct"/>
            <w:gridSpan w:val="2"/>
            <w:vAlign w:val="center"/>
          </w:tcPr>
          <w:p>
            <w:pPr>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储存在专用罐区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pPr>
              <w:numPr>
                <w:ilvl w:val="0"/>
                <w:numId w:val="28"/>
              </w:numPr>
              <w:spacing w:line="240" w:lineRule="auto"/>
              <w:rPr>
                <w:rFonts w:hint="default" w:ascii="Times New Roman" w:hAnsi="Times New Roman" w:cs="Times New Roman"/>
                <w:sz w:val="21"/>
                <w:szCs w:val="21"/>
              </w:rPr>
            </w:pPr>
          </w:p>
        </w:tc>
        <w:tc>
          <w:tcPr>
            <w:tcW w:w="2289"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氢氟酸储存区设置围堰，地面进行防渗透处理，并配备倒装罐或储液池。储存区应备有合适的材料收容泄漏物。</w:t>
            </w:r>
          </w:p>
        </w:tc>
        <w:tc>
          <w:tcPr>
            <w:tcW w:w="1118" w:type="pct"/>
            <w:vMerge w:val="continue"/>
            <w:vAlign w:val="center"/>
          </w:tcPr>
          <w:p>
            <w:pPr>
              <w:spacing w:line="240" w:lineRule="auto"/>
              <w:jc w:val="center"/>
              <w:rPr>
                <w:rFonts w:hint="default" w:ascii="Times New Roman" w:hAnsi="Times New Roman" w:cs="Times New Roman"/>
                <w:sz w:val="21"/>
                <w:szCs w:val="21"/>
              </w:rPr>
            </w:pPr>
          </w:p>
        </w:tc>
        <w:tc>
          <w:tcPr>
            <w:tcW w:w="484" w:type="pct"/>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符合</w:t>
            </w:r>
          </w:p>
        </w:tc>
        <w:tc>
          <w:tcPr>
            <w:tcW w:w="775" w:type="pct"/>
            <w:gridSpan w:val="2"/>
            <w:vAlign w:val="center"/>
          </w:tcPr>
          <w:p>
            <w:pPr>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原料罐区设有围堰，地面进行防渗透处理，并配备倒装罐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pPr>
              <w:numPr>
                <w:ilvl w:val="0"/>
                <w:numId w:val="28"/>
              </w:numPr>
              <w:spacing w:line="240" w:lineRule="auto"/>
              <w:rPr>
                <w:rFonts w:hint="default" w:ascii="Times New Roman" w:hAnsi="Times New Roman" w:cs="Times New Roman"/>
                <w:sz w:val="21"/>
                <w:szCs w:val="21"/>
              </w:rPr>
            </w:pPr>
          </w:p>
        </w:tc>
        <w:tc>
          <w:tcPr>
            <w:tcW w:w="2289"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应与氧化剂、酸类、食用化学品分开存放，切忌混储。</w:t>
            </w:r>
          </w:p>
        </w:tc>
        <w:tc>
          <w:tcPr>
            <w:tcW w:w="1118" w:type="pct"/>
            <w:vMerge w:val="continue"/>
            <w:vAlign w:val="center"/>
          </w:tcPr>
          <w:p>
            <w:pPr>
              <w:spacing w:line="240" w:lineRule="auto"/>
              <w:jc w:val="center"/>
              <w:rPr>
                <w:rFonts w:hint="default" w:ascii="Times New Roman" w:hAnsi="Times New Roman" w:cs="Times New Roman"/>
                <w:sz w:val="21"/>
                <w:szCs w:val="21"/>
              </w:rPr>
            </w:pPr>
          </w:p>
        </w:tc>
        <w:tc>
          <w:tcPr>
            <w:tcW w:w="484" w:type="pct"/>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775"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与氧化剂、酸类、食用化学品分开存放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pPr>
              <w:numPr>
                <w:ilvl w:val="0"/>
                <w:numId w:val="28"/>
              </w:numPr>
              <w:spacing w:line="240" w:lineRule="auto"/>
              <w:rPr>
                <w:rFonts w:hint="default" w:ascii="Times New Roman" w:hAnsi="Times New Roman" w:cs="Times New Roman"/>
                <w:sz w:val="21"/>
                <w:szCs w:val="21"/>
              </w:rPr>
            </w:pPr>
          </w:p>
        </w:tc>
        <w:tc>
          <w:tcPr>
            <w:tcW w:w="2289"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定期检查氢氟酸的储罐、槽车、阀门和泵等，防止泄漏。</w:t>
            </w:r>
          </w:p>
        </w:tc>
        <w:tc>
          <w:tcPr>
            <w:tcW w:w="1118" w:type="pct"/>
            <w:vMerge w:val="continue"/>
            <w:vAlign w:val="center"/>
          </w:tcPr>
          <w:p>
            <w:pPr>
              <w:spacing w:line="240" w:lineRule="auto"/>
              <w:jc w:val="center"/>
              <w:rPr>
                <w:rFonts w:hint="default" w:ascii="Times New Roman" w:hAnsi="Times New Roman" w:cs="Times New Roman"/>
                <w:sz w:val="21"/>
                <w:szCs w:val="21"/>
              </w:rPr>
            </w:pPr>
          </w:p>
        </w:tc>
        <w:tc>
          <w:tcPr>
            <w:tcW w:w="484" w:type="pct"/>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符合</w:t>
            </w:r>
          </w:p>
        </w:tc>
        <w:tc>
          <w:tcPr>
            <w:tcW w:w="775" w:type="pct"/>
            <w:gridSpan w:val="2"/>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定期检查氢氟酸的储罐、槽车、阀门和泵</w:t>
            </w:r>
          </w:p>
        </w:tc>
      </w:tr>
    </w:tbl>
    <w:p>
      <w:pPr>
        <w:ind w:firstLine="560" w:firstLineChars="200"/>
        <w:rPr>
          <w:rFonts w:hint="default" w:ascii="Times New Roman" w:hAnsi="Times New Roman" w:cs="Times New Roman"/>
        </w:rPr>
      </w:pPr>
      <w:r>
        <w:rPr>
          <w:rFonts w:hint="default" w:ascii="Times New Roman" w:hAnsi="Times New Roman" w:cs="Times New Roman"/>
        </w:rPr>
        <w:t>2.单元评价小结</w:t>
      </w:r>
      <w:bookmarkEnd w:id="141"/>
      <w:bookmarkEnd w:id="142"/>
    </w:p>
    <w:p>
      <w:pPr>
        <w:ind w:firstLine="560" w:firstLineChars="200"/>
        <w:rPr>
          <w:rFonts w:hint="default" w:ascii="Times New Roman" w:hAnsi="Times New Roman" w:cs="Times New Roman"/>
        </w:rPr>
      </w:pPr>
      <w:r>
        <w:rPr>
          <w:rFonts w:hint="default" w:ascii="Times New Roman" w:hAnsi="Times New Roman" w:cs="Times New Roman"/>
        </w:rPr>
        <w:t>评价组根据上饶市广氟医药化工有限公司所提供的资料和现场检查情况，对</w:t>
      </w:r>
      <w:r>
        <w:rPr>
          <w:rFonts w:hint="eastAsia" w:cs="Times New Roman"/>
          <w:lang w:eastAsia="zh-CN"/>
        </w:rPr>
        <w:t>该企业的储存单元情况评价小结如下</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rPr>
        <w:t>1）</w:t>
      </w:r>
      <w:r>
        <w:rPr>
          <w:rFonts w:hint="eastAsia" w:cs="Times New Roman"/>
          <w:lang w:eastAsia="zh-CN"/>
        </w:rPr>
        <w:t>该企业根据化学品的性质、危害程度和储存量</w:t>
      </w:r>
      <w:r>
        <w:rPr>
          <w:rFonts w:hint="default" w:ascii="Times New Roman" w:hAnsi="Times New Roman" w:cs="Times New Roman"/>
        </w:rPr>
        <w:t>，设置专业仓库、罐区储存场（所）；</w:t>
      </w:r>
    </w:p>
    <w:p>
      <w:pPr>
        <w:ind w:firstLine="536" w:firstLineChars="200"/>
        <w:rPr>
          <w:rFonts w:hint="default" w:ascii="Times New Roman" w:hAnsi="Times New Roman" w:cs="Times New Roman"/>
        </w:rPr>
      </w:pPr>
      <w:r>
        <w:rPr>
          <w:rFonts w:hint="default" w:ascii="Times New Roman" w:hAnsi="Times New Roman" w:cs="Times New Roman"/>
          <w:spacing w:val="-6"/>
          <w:sz w:val="28"/>
        </w:rPr>
        <w:t>2）储罐区与装卸区、辅助生产区及办公区分开布置；设置不燃性防火</w:t>
      </w:r>
      <w:r>
        <w:rPr>
          <w:rFonts w:hint="default" w:ascii="Times New Roman" w:hAnsi="Times New Roman" w:cs="Times New Roman"/>
        </w:rPr>
        <w:t>堤。</w:t>
      </w:r>
    </w:p>
    <w:p>
      <w:pPr>
        <w:ind w:firstLine="560" w:firstLineChars="200"/>
        <w:rPr>
          <w:rFonts w:hint="default" w:ascii="Times New Roman" w:hAnsi="Times New Roman" w:cs="Times New Roman"/>
        </w:rPr>
      </w:pPr>
      <w:r>
        <w:rPr>
          <w:rFonts w:hint="default" w:ascii="Times New Roman" w:hAnsi="Times New Roman" w:cs="Times New Roman"/>
        </w:rPr>
        <w:t>3）该</w:t>
      </w:r>
      <w:r>
        <w:rPr>
          <w:rFonts w:hint="eastAsia" w:cs="Times New Roman"/>
          <w:lang w:val="en-US" w:eastAsia="zh-CN"/>
        </w:rPr>
        <w:t>企业</w:t>
      </w:r>
      <w:r>
        <w:rPr>
          <w:rFonts w:hint="default" w:ascii="Times New Roman" w:hAnsi="Times New Roman" w:cs="Times New Roman"/>
        </w:rPr>
        <w:t>库存物品当分类、分垛储存。仓库干燥、易于通风、密封和避光，并安装避雷装置；安装了可燃气体报警装置。</w:t>
      </w:r>
    </w:p>
    <w:p>
      <w:pPr>
        <w:ind w:firstLine="560" w:firstLineChars="200"/>
        <w:rPr>
          <w:rFonts w:hint="default" w:ascii="Times New Roman" w:hAnsi="Times New Roman" w:cs="Times New Roman"/>
        </w:rPr>
      </w:pPr>
      <w:r>
        <w:rPr>
          <w:rFonts w:hint="default" w:ascii="Times New Roman" w:hAnsi="Times New Roman" w:cs="Times New Roman"/>
        </w:rPr>
        <w:t>4）储罐区与装卸区、辅助生产区及办公区分开布置。储罐的基础、防火堤、隔堤，均为混凝土结构。</w:t>
      </w:r>
    </w:p>
    <w:p>
      <w:pPr>
        <w:ind w:firstLine="560" w:firstLineChars="200"/>
        <w:rPr>
          <w:rFonts w:hint="default" w:ascii="Times New Roman" w:hAnsi="Times New Roman" w:cs="Times New Roman"/>
        </w:rPr>
      </w:pPr>
      <w:r>
        <w:rPr>
          <w:rFonts w:hint="default" w:ascii="Times New Roman" w:hAnsi="Times New Roman" w:cs="Times New Roman"/>
        </w:rPr>
        <w:t>5）储罐区设置安全标志，同时设置危险危害告知牌。</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）对该单元进行了</w:t>
      </w:r>
      <w:r>
        <w:rPr>
          <w:rFonts w:hint="default" w:ascii="Times New Roman" w:hAnsi="Times New Roman" w:cs="Times New Roman"/>
          <w:lang w:val="en-US" w:eastAsia="zh-CN"/>
        </w:rPr>
        <w:t>29</w:t>
      </w:r>
      <w:r>
        <w:rPr>
          <w:rFonts w:hint="default" w:ascii="Times New Roman" w:hAnsi="Times New Roman" w:cs="Times New Roman"/>
        </w:rPr>
        <w:t>项现场检查，</w:t>
      </w:r>
      <w:r>
        <w:rPr>
          <w:rFonts w:hint="default" w:ascii="Times New Roman" w:hAnsi="Times New Roman" w:cs="Times New Roman"/>
          <w:lang w:val="en-US" w:eastAsia="zh-CN"/>
        </w:rPr>
        <w:t>无</w:t>
      </w:r>
      <w:r>
        <w:rPr>
          <w:rFonts w:hint="default" w:ascii="Times New Roman" w:hAnsi="Times New Roman" w:cs="Times New Roman"/>
        </w:rPr>
        <w:t>不符合项。</w:t>
      </w:r>
    </w:p>
    <w:p>
      <w:pPr>
        <w:ind w:firstLine="560" w:firstLineChars="200"/>
        <w:rPr>
          <w:rFonts w:hint="default" w:ascii="Times New Roman" w:hAnsi="Times New Roman" w:cs="Times New Roman"/>
        </w:rPr>
      </w:pPr>
      <w:r>
        <w:rPr>
          <w:rFonts w:hint="default" w:ascii="Times New Roman" w:hAnsi="Times New Roman" w:cs="Times New Roman"/>
        </w:rPr>
        <w:t>3.危险度分析</w:t>
      </w:r>
    </w:p>
    <w:p>
      <w:pPr>
        <w:ind w:firstLine="560" w:firstLineChars="200"/>
        <w:rPr>
          <w:rFonts w:hint="default" w:ascii="Times New Roman" w:hAnsi="Times New Roman" w:cs="Times New Roman"/>
        </w:rPr>
      </w:pPr>
      <w:r>
        <w:rPr>
          <w:rFonts w:hint="default" w:ascii="Times New Roman" w:hAnsi="Times New Roman" w:cs="Times New Roman"/>
        </w:rPr>
        <w:t>应用日本劳动省化工企业六阶段安全评价方法主要对该</w:t>
      </w:r>
      <w:r>
        <w:rPr>
          <w:rFonts w:hint="eastAsia" w:cs="Times New Roman"/>
          <w:lang w:val="en-US" w:eastAsia="zh-CN"/>
        </w:rPr>
        <w:t>企业</w:t>
      </w:r>
      <w:r>
        <w:rPr>
          <w:rFonts w:hint="default" w:ascii="Times New Roman" w:hAnsi="Times New Roman" w:cs="Times New Roman"/>
        </w:rPr>
        <w:t>储存设施单元进行危险度评价。</w:t>
      </w:r>
    </w:p>
    <w:p>
      <w:pPr>
        <w:ind w:firstLine="560" w:firstLineChars="200"/>
        <w:rPr>
          <w:rFonts w:hint="default" w:ascii="Times New Roman" w:hAnsi="Times New Roman" w:cs="Times New Roman"/>
        </w:rPr>
      </w:pPr>
      <w:r>
        <w:rPr>
          <w:rFonts w:hint="default" w:ascii="Times New Roman" w:hAnsi="Times New Roman" w:cs="Times New Roman"/>
        </w:rPr>
        <w:t>各单元取值及等级见表。</w:t>
      </w:r>
    </w:p>
    <w:p>
      <w:pPr>
        <w:jc w:val="center"/>
        <w:rPr>
          <w:rFonts w:hint="default" w:ascii="Times New Roman" w:hAnsi="Times New Roman" w:cs="Times New Roman"/>
        </w:rPr>
      </w:pPr>
      <w:r>
        <w:rPr>
          <w:rFonts w:hint="default" w:ascii="Times New Roman" w:hAnsi="Times New Roman" w:cs="Times New Roman"/>
        </w:rPr>
        <w:t>表C.</w:t>
      </w:r>
      <w:r>
        <w:rPr>
          <w:rFonts w:hint="default" w:ascii="Times New Roman" w:hAnsi="Times New Roman" w:cs="Times New Roman"/>
          <w:lang w:val="en-US" w:eastAsia="zh-CN"/>
        </w:rPr>
        <w:t>4</w:t>
      </w:r>
      <w:r>
        <w:rPr>
          <w:rFonts w:hint="default" w:ascii="Times New Roman" w:hAnsi="Times New Roman" w:cs="Times New Roman"/>
        </w:rPr>
        <w:t>-2 单元取值及危险等级分级表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1135"/>
        <w:gridCol w:w="455"/>
        <w:gridCol w:w="884"/>
        <w:gridCol w:w="568"/>
        <w:gridCol w:w="944"/>
        <w:gridCol w:w="520"/>
        <w:gridCol w:w="784"/>
        <w:gridCol w:w="450"/>
        <w:gridCol w:w="700"/>
        <w:gridCol w:w="515"/>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903"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kern w:val="24"/>
                <w:sz w:val="18"/>
                <w:szCs w:val="18"/>
              </w:rPr>
            </w:pPr>
            <w:r>
              <w:rPr>
                <w:rFonts w:hint="default" w:ascii="Times New Roman" w:hAnsi="Times New Roman" w:cs="Times New Roman"/>
                <w:sz w:val="18"/>
                <w:szCs w:val="18"/>
              </w:rPr>
              <w:t>装置名称</w:t>
            </w:r>
          </w:p>
        </w:tc>
        <w:tc>
          <w:tcPr>
            <w:tcW w:w="856"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kern w:val="24"/>
                <w:sz w:val="18"/>
                <w:szCs w:val="18"/>
              </w:rPr>
            </w:pPr>
            <w:r>
              <w:rPr>
                <w:rFonts w:hint="default" w:ascii="Times New Roman" w:hAnsi="Times New Roman" w:cs="Times New Roman"/>
                <w:sz w:val="18"/>
                <w:szCs w:val="18"/>
              </w:rPr>
              <w:t>主要介质</w:t>
            </w:r>
          </w:p>
        </w:tc>
        <w:tc>
          <w:tcPr>
            <w:tcW w:w="782"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kern w:val="24"/>
                <w:sz w:val="18"/>
                <w:szCs w:val="18"/>
              </w:rPr>
            </w:pPr>
            <w:r>
              <w:rPr>
                <w:rFonts w:hint="default" w:ascii="Times New Roman" w:hAnsi="Times New Roman" w:cs="Times New Roman"/>
                <w:sz w:val="18"/>
                <w:szCs w:val="18"/>
              </w:rPr>
              <w:t>物料容量</w:t>
            </w:r>
          </w:p>
        </w:tc>
        <w:tc>
          <w:tcPr>
            <w:tcW w:w="788"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温度</w:t>
            </w:r>
          </w:p>
        </w:tc>
        <w:tc>
          <w:tcPr>
            <w:tcW w:w="664"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kern w:val="24"/>
                <w:sz w:val="18"/>
                <w:szCs w:val="18"/>
              </w:rPr>
            </w:pPr>
            <w:r>
              <w:rPr>
                <w:rFonts w:hint="default" w:ascii="Times New Roman" w:hAnsi="Times New Roman" w:cs="Times New Roman"/>
                <w:sz w:val="18"/>
                <w:szCs w:val="18"/>
              </w:rPr>
              <w:t>压力</w:t>
            </w:r>
          </w:p>
        </w:tc>
        <w:tc>
          <w:tcPr>
            <w:tcW w:w="37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kern w:val="24"/>
                <w:sz w:val="18"/>
                <w:szCs w:val="18"/>
              </w:rPr>
            </w:pPr>
            <w:r>
              <w:rPr>
                <w:rFonts w:hint="default" w:ascii="Times New Roman" w:hAnsi="Times New Roman" w:cs="Times New Roman"/>
                <w:sz w:val="18"/>
                <w:szCs w:val="18"/>
              </w:rPr>
              <w:t>操作</w:t>
            </w:r>
          </w:p>
        </w:tc>
        <w:tc>
          <w:tcPr>
            <w:tcW w:w="277"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总分</w:t>
            </w:r>
          </w:p>
        </w:tc>
        <w:tc>
          <w:tcPr>
            <w:tcW w:w="349"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危险等级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903"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kern w:val="24"/>
                <w:sz w:val="18"/>
                <w:szCs w:val="18"/>
              </w:rPr>
            </w:pP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名称</w:t>
            </w:r>
          </w:p>
        </w:tc>
        <w:tc>
          <w:tcPr>
            <w:tcW w:w="245"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分数</w:t>
            </w:r>
          </w:p>
        </w:tc>
        <w:tc>
          <w:tcPr>
            <w:tcW w:w="476"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3</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分数</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w:t>
            </w:r>
          </w:p>
        </w:tc>
        <w:tc>
          <w:tcPr>
            <w:tcW w:w="28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分数</w:t>
            </w:r>
          </w:p>
        </w:tc>
        <w:tc>
          <w:tcPr>
            <w:tcW w:w="42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MPa</w:t>
            </w:r>
          </w:p>
        </w:tc>
        <w:tc>
          <w:tcPr>
            <w:tcW w:w="24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分数</w:t>
            </w:r>
          </w:p>
        </w:tc>
        <w:tc>
          <w:tcPr>
            <w:tcW w:w="37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分数</w:t>
            </w:r>
          </w:p>
        </w:tc>
        <w:tc>
          <w:tcPr>
            <w:tcW w:w="277"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kern w:val="24"/>
                <w:sz w:val="18"/>
                <w:szCs w:val="18"/>
              </w:rPr>
            </w:pPr>
          </w:p>
        </w:tc>
        <w:tc>
          <w:tcPr>
            <w:tcW w:w="349"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903" w:type="pct"/>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201原料罐区</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有水氢氟酸、氟硅酸</w:t>
            </w:r>
          </w:p>
        </w:tc>
        <w:tc>
          <w:tcPr>
            <w:tcW w:w="245"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5</w:t>
            </w:r>
          </w:p>
        </w:tc>
        <w:tc>
          <w:tcPr>
            <w:tcW w:w="476"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lang w:val="en-US"/>
              </w:rPr>
            </w:pPr>
            <w:r>
              <w:rPr>
                <w:rFonts w:hint="default" w:ascii="Times New Roman" w:hAnsi="Times New Roman" w:cs="Times New Roman"/>
                <w:sz w:val="18"/>
                <w:szCs w:val="18"/>
                <w:lang w:val="en-US" w:eastAsia="zh-CN"/>
              </w:rPr>
              <w:t>10~50</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2</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＜250</w:t>
            </w:r>
          </w:p>
        </w:tc>
        <w:tc>
          <w:tcPr>
            <w:tcW w:w="28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0</w:t>
            </w:r>
          </w:p>
        </w:tc>
        <w:tc>
          <w:tcPr>
            <w:tcW w:w="42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w:t>
            </w:r>
          </w:p>
        </w:tc>
        <w:tc>
          <w:tcPr>
            <w:tcW w:w="24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0</w:t>
            </w:r>
          </w:p>
        </w:tc>
        <w:tc>
          <w:tcPr>
            <w:tcW w:w="37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w:t>
            </w:r>
          </w:p>
        </w:tc>
        <w:tc>
          <w:tcPr>
            <w:tcW w:w="27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4"/>
                <w:sz w:val="18"/>
                <w:szCs w:val="18"/>
                <w:lang w:eastAsia="zh-CN"/>
              </w:rPr>
            </w:pPr>
            <w:r>
              <w:rPr>
                <w:rFonts w:hint="default" w:ascii="Times New Roman" w:hAnsi="Times New Roman" w:cs="Times New Roman"/>
                <w:kern w:val="24"/>
                <w:sz w:val="18"/>
                <w:szCs w:val="18"/>
                <w:lang w:val="en-US" w:eastAsia="zh-CN"/>
              </w:rPr>
              <w:t>9</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903" w:type="pct"/>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20</w:t>
            </w:r>
            <w:r>
              <w:rPr>
                <w:rFonts w:hint="default" w:ascii="Times New Roman" w:hAnsi="Times New Roman" w:cs="Times New Roman"/>
                <w:sz w:val="18"/>
                <w:szCs w:val="18"/>
                <w:lang w:val="en-US" w:eastAsia="zh-CN"/>
              </w:rPr>
              <w:t>2成品罐区</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lang w:val="en-US" w:eastAsia="zh-CN"/>
              </w:rPr>
              <w:t>氟硼酸</w:t>
            </w:r>
          </w:p>
        </w:tc>
        <w:tc>
          <w:tcPr>
            <w:tcW w:w="245"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2</w:t>
            </w:r>
          </w:p>
        </w:tc>
        <w:tc>
          <w:tcPr>
            <w:tcW w:w="476"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50~100</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val="en-US" w:eastAsia="zh-CN"/>
              </w:rPr>
              <w:t>5</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＜250</w:t>
            </w:r>
          </w:p>
        </w:tc>
        <w:tc>
          <w:tcPr>
            <w:tcW w:w="28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0</w:t>
            </w:r>
          </w:p>
        </w:tc>
        <w:tc>
          <w:tcPr>
            <w:tcW w:w="42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＜1</w:t>
            </w:r>
          </w:p>
        </w:tc>
        <w:tc>
          <w:tcPr>
            <w:tcW w:w="24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0</w:t>
            </w:r>
          </w:p>
        </w:tc>
        <w:tc>
          <w:tcPr>
            <w:tcW w:w="37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18"/>
                <w:szCs w:val="18"/>
              </w:rPr>
            </w:pPr>
            <w:r>
              <w:rPr>
                <w:rFonts w:hint="default" w:ascii="Times New Roman" w:hAnsi="Times New Roman" w:cs="Times New Roman"/>
                <w:sz w:val="18"/>
                <w:szCs w:val="18"/>
              </w:rPr>
              <w:t>2</w:t>
            </w:r>
          </w:p>
        </w:tc>
        <w:tc>
          <w:tcPr>
            <w:tcW w:w="27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kern w:val="24"/>
                <w:sz w:val="18"/>
                <w:szCs w:val="18"/>
              </w:rPr>
            </w:pPr>
            <w:r>
              <w:rPr>
                <w:rFonts w:hint="default" w:ascii="Times New Roman" w:hAnsi="Times New Roman" w:cs="Times New Roman"/>
                <w:kern w:val="24"/>
                <w:sz w:val="18"/>
                <w:szCs w:val="18"/>
              </w:rPr>
              <w:t>9</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blHeader/>
          <w:jc w:val="center"/>
        </w:trPr>
        <w:tc>
          <w:tcPr>
            <w:tcW w:w="903" w:type="pct"/>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203烘干包装库、204成品仓库、205原料仓库、308半成品仓库、309半成品仓库</w:t>
            </w:r>
          </w:p>
        </w:tc>
        <w:tc>
          <w:tcPr>
            <w:tcW w:w="61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各类原料和成品</w:t>
            </w:r>
          </w:p>
        </w:tc>
        <w:tc>
          <w:tcPr>
            <w:tcW w:w="245"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lang w:val="en-US" w:eastAsia="zh-CN"/>
              </w:rPr>
              <w:t>2</w:t>
            </w:r>
          </w:p>
        </w:tc>
        <w:tc>
          <w:tcPr>
            <w:tcW w:w="476"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＜10</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0</w:t>
            </w:r>
          </w:p>
        </w:tc>
        <w:tc>
          <w:tcPr>
            <w:tcW w:w="508"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＜250</w:t>
            </w:r>
          </w:p>
        </w:tc>
        <w:tc>
          <w:tcPr>
            <w:tcW w:w="28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0</w:t>
            </w:r>
          </w:p>
        </w:tc>
        <w:tc>
          <w:tcPr>
            <w:tcW w:w="42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＜1</w:t>
            </w:r>
          </w:p>
        </w:tc>
        <w:tc>
          <w:tcPr>
            <w:tcW w:w="242"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0</w:t>
            </w:r>
          </w:p>
        </w:tc>
        <w:tc>
          <w:tcPr>
            <w:tcW w:w="37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2</w:t>
            </w:r>
          </w:p>
        </w:tc>
        <w:tc>
          <w:tcPr>
            <w:tcW w:w="277"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4"/>
                <w:sz w:val="18"/>
                <w:szCs w:val="18"/>
                <w:lang w:val="en-US" w:eastAsia="zh-CN" w:bidi="ar-SA"/>
              </w:rPr>
            </w:pPr>
            <w:r>
              <w:rPr>
                <w:rFonts w:hint="default" w:ascii="Times New Roman" w:hAnsi="Times New Roman" w:cs="Times New Roman"/>
                <w:kern w:val="24"/>
                <w:sz w:val="18"/>
                <w:szCs w:val="18"/>
                <w:lang w:val="en-US" w:eastAsia="zh-CN"/>
              </w:rPr>
              <w:t>4</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Ⅲ</w:t>
            </w:r>
          </w:p>
        </w:tc>
      </w:tr>
    </w:tbl>
    <w:p>
      <w:pPr>
        <w:spacing w:line="360" w:lineRule="auto"/>
        <w:ind w:firstLine="560" w:firstLineChars="200"/>
        <w:jc w:val="left"/>
        <w:rPr>
          <w:rFonts w:hint="default" w:ascii="Times New Roman" w:hAnsi="Times New Roman" w:cs="Times New Roman"/>
        </w:rPr>
      </w:pPr>
      <w:r>
        <w:rPr>
          <w:rFonts w:hint="default" w:ascii="Times New Roman" w:hAnsi="Times New Roman" w:cs="Times New Roman"/>
        </w:rPr>
        <w:t>危险度评价结果分析与结论：</w:t>
      </w:r>
    </w:p>
    <w:p>
      <w:pPr>
        <w:spacing w:line="360" w:lineRule="auto"/>
        <w:ind w:firstLine="536" w:firstLineChars="200"/>
        <w:jc w:val="left"/>
        <w:rPr>
          <w:rFonts w:hint="default" w:ascii="Times New Roman" w:hAnsi="Times New Roman" w:cs="Times New Roman"/>
          <w:spacing w:val="-6"/>
          <w:sz w:val="28"/>
        </w:rPr>
      </w:pPr>
      <w:r>
        <w:rPr>
          <w:rFonts w:hint="default" w:ascii="Times New Roman" w:hAnsi="Times New Roman" w:cs="Times New Roman"/>
          <w:spacing w:val="-6"/>
          <w:sz w:val="28"/>
        </w:rPr>
        <w:t>由上表可以看出，</w:t>
      </w:r>
      <w:r>
        <w:rPr>
          <w:rFonts w:hint="default" w:ascii="Times New Roman" w:hAnsi="Times New Roman" w:cs="Times New Roman"/>
          <w:spacing w:val="-6"/>
          <w:sz w:val="28"/>
          <w:lang w:val="en-US" w:eastAsia="zh-CN"/>
        </w:rPr>
        <w:t>各仓库和罐区的危险度分值低于10分，</w:t>
      </w:r>
      <w:r>
        <w:rPr>
          <w:rFonts w:hint="default" w:ascii="Times New Roman" w:hAnsi="Times New Roman" w:cs="Times New Roman"/>
          <w:spacing w:val="-6"/>
          <w:sz w:val="28"/>
        </w:rPr>
        <w:t>属于低度危险。</w:t>
      </w:r>
    </w:p>
    <w:p>
      <w:pPr>
        <w:pStyle w:val="4"/>
        <w:rPr>
          <w:rFonts w:hint="default" w:ascii="Times New Roman" w:hAnsi="Times New Roman" w:cs="Times New Roman"/>
        </w:rPr>
      </w:pPr>
      <w:bookmarkStart w:id="143" w:name="_Toc30007"/>
      <w:bookmarkStart w:id="144" w:name="_Toc14014"/>
      <w:r>
        <w:rPr>
          <w:rFonts w:hint="default" w:ascii="Times New Roman" w:hAnsi="Times New Roman" w:cs="Times New Roman"/>
        </w:rPr>
        <w:t>C.5公用工程及辅助设施单元</w:t>
      </w:r>
      <w:bookmarkEnd w:id="143"/>
      <w:bookmarkEnd w:id="144"/>
    </w:p>
    <w:p>
      <w:pPr>
        <w:pStyle w:val="5"/>
        <w:ind w:left="0" w:leftChars="0"/>
        <w:rPr>
          <w:rFonts w:hint="default" w:ascii="Times New Roman" w:hAnsi="Times New Roman" w:cs="Times New Roman"/>
        </w:rPr>
      </w:pPr>
      <w:bookmarkStart w:id="145" w:name="_Toc431204836"/>
      <w:r>
        <w:rPr>
          <w:rFonts w:hint="default" w:ascii="Times New Roman" w:hAnsi="Times New Roman" w:cs="Times New Roman"/>
        </w:rPr>
        <w:t>C.5.1供配电子单元</w:t>
      </w:r>
    </w:p>
    <w:bookmarkEnd w:id="145"/>
    <w:p>
      <w:pPr>
        <w:ind w:firstLine="560" w:firstLineChars="200"/>
        <w:rPr>
          <w:rFonts w:hint="default" w:ascii="Times New Roman" w:hAnsi="Times New Roman" w:cs="Times New Roman"/>
        </w:rPr>
      </w:pPr>
      <w:r>
        <w:rPr>
          <w:rFonts w:hint="default" w:ascii="Times New Roman" w:hAnsi="Times New Roman" w:cs="Times New Roman"/>
        </w:rPr>
        <w:t>检查组依据《中华人民共和国安全生产法》、《供配电系统设计规范》、《建筑给水排水设计规范》、《化工企业安全卫生设计规范》、《20kV及以下变电所设计规范》、《低压配电设计规范》等规程、规范，使用安全检查表对该公司的供配电、仪表自动化、供排水等公用工程及辅助设施进行了现场检查，检查情况见附表C.5-1。</w:t>
      </w:r>
    </w:p>
    <w:p>
      <w:pPr>
        <w:jc w:val="center"/>
        <w:rPr>
          <w:rFonts w:hint="default" w:ascii="Times New Roman" w:hAnsi="Times New Roman" w:cs="Times New Roman"/>
        </w:rPr>
      </w:pPr>
      <w:r>
        <w:rPr>
          <w:rFonts w:hint="default" w:ascii="Times New Roman" w:hAnsi="Times New Roman" w:cs="Times New Roman"/>
        </w:rPr>
        <w:t>附表C.5-1 公用工程及辅助设置单元安全检查表</w:t>
      </w:r>
    </w:p>
    <w:tbl>
      <w:tblPr>
        <w:tblStyle w:val="25"/>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4410"/>
        <w:gridCol w:w="1731"/>
        <w:gridCol w:w="891"/>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465"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4410"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检查内容</w:t>
            </w:r>
          </w:p>
        </w:tc>
        <w:tc>
          <w:tcPr>
            <w:tcW w:w="173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依据的法律、法规、标准</w:t>
            </w:r>
          </w:p>
        </w:tc>
        <w:tc>
          <w:tcPr>
            <w:tcW w:w="89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检查结果</w:t>
            </w:r>
          </w:p>
        </w:tc>
        <w:tc>
          <w:tcPr>
            <w:tcW w:w="1789"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vAlign w:val="center"/>
          </w:tcPr>
          <w:p>
            <w:pPr>
              <w:numPr>
                <w:ilvl w:val="0"/>
                <w:numId w:val="29"/>
              </w:numPr>
              <w:spacing w:line="300" w:lineRule="exact"/>
              <w:jc w:val="center"/>
              <w:rPr>
                <w:rFonts w:hint="default" w:ascii="Times New Roman" w:hAnsi="Times New Roman" w:cs="Times New Roman"/>
                <w:sz w:val="21"/>
                <w:szCs w:val="21"/>
              </w:rPr>
            </w:pPr>
          </w:p>
        </w:tc>
        <w:tc>
          <w:tcPr>
            <w:tcW w:w="4410"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符合下列情况之一时，应为二级负荷：</w:t>
            </w:r>
          </w:p>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1.中断供电将在经济上造成较大损失时。</w:t>
            </w:r>
          </w:p>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2.中断供电将影响较重要用电单位的正常工作。</w:t>
            </w:r>
          </w:p>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不属于一级和二级负荷者应为三级负荷。</w:t>
            </w:r>
          </w:p>
        </w:tc>
        <w:tc>
          <w:tcPr>
            <w:tcW w:w="173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《供配电系统设计规范》GB50052-2009</w:t>
            </w:r>
          </w:p>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第3.0.1条</w:t>
            </w:r>
          </w:p>
        </w:tc>
        <w:tc>
          <w:tcPr>
            <w:tcW w:w="89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项目生产过程大部分为三级负荷，二级用电负荷主要包括消防水泵、潜水泵和尾气吸收装置。</w:t>
            </w:r>
            <w:r>
              <w:rPr>
                <w:rFonts w:hint="default" w:ascii="Times New Roman" w:hAnsi="Times New Roman" w:cs="Times New Roman"/>
                <w:sz w:val="21"/>
                <w:szCs w:val="21"/>
                <w:lang w:val="en-US" w:eastAsia="zh-CN"/>
              </w:rPr>
              <w:t>PLC</w:t>
            </w:r>
            <w:r>
              <w:rPr>
                <w:rFonts w:hint="default" w:ascii="Times New Roman" w:hAnsi="Times New Roman" w:cs="Times New Roman"/>
                <w:sz w:val="21"/>
                <w:szCs w:val="21"/>
              </w:rPr>
              <w:t>控制系统、有毒气体检测报警器等仪表电源为一级负荷中特别重要负荷，设有UPS电源作为备用电源供电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vAlign w:val="center"/>
          </w:tcPr>
          <w:p>
            <w:pPr>
              <w:numPr>
                <w:ilvl w:val="0"/>
                <w:numId w:val="29"/>
              </w:numPr>
              <w:spacing w:line="300" w:lineRule="exact"/>
              <w:jc w:val="center"/>
              <w:rPr>
                <w:rFonts w:hint="default" w:ascii="Times New Roman" w:hAnsi="Times New Roman" w:cs="Times New Roman"/>
                <w:sz w:val="21"/>
                <w:szCs w:val="21"/>
              </w:rPr>
            </w:pPr>
          </w:p>
        </w:tc>
        <w:tc>
          <w:tcPr>
            <w:tcW w:w="4410"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高压配电系统宜采用放射式。根据变压器的容量、分布及地理环境等情况，亦可采用树干式或环式。</w:t>
            </w:r>
          </w:p>
        </w:tc>
        <w:tc>
          <w:tcPr>
            <w:tcW w:w="173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《供配电系统设计规范》GB50052-2009</w:t>
            </w:r>
          </w:p>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第4.0.7条</w:t>
            </w:r>
          </w:p>
        </w:tc>
        <w:tc>
          <w:tcPr>
            <w:tcW w:w="89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高压配电系统采用放射式。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vAlign w:val="center"/>
          </w:tcPr>
          <w:p>
            <w:pPr>
              <w:numPr>
                <w:ilvl w:val="0"/>
                <w:numId w:val="29"/>
              </w:numPr>
              <w:spacing w:line="300" w:lineRule="exact"/>
              <w:jc w:val="center"/>
              <w:rPr>
                <w:rFonts w:hint="default" w:ascii="Times New Roman" w:hAnsi="Times New Roman" w:cs="Times New Roman"/>
                <w:sz w:val="21"/>
                <w:szCs w:val="21"/>
              </w:rPr>
            </w:pPr>
          </w:p>
        </w:tc>
        <w:tc>
          <w:tcPr>
            <w:tcW w:w="4410"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kern w:val="0"/>
                <w:sz w:val="21"/>
                <w:szCs w:val="21"/>
              </w:rPr>
              <w:t>配电室的门、窗关闭应密合；与室外相通的洞、通风孔应设防止鼠、蛇类等小动物进入网罩，其防护等级不宜低于现行国家标准《外壳防护等级（IP代码）GB4208规定的IP3X级。直接与室外露天相通的通风孔尚应采取防止雨＼雪飘入的措施。</w:t>
            </w:r>
          </w:p>
        </w:tc>
        <w:tc>
          <w:tcPr>
            <w:tcW w:w="173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《供配电系统设计规范》GB50052-2009</w:t>
            </w:r>
          </w:p>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第4.3.7条</w:t>
            </w:r>
          </w:p>
        </w:tc>
        <w:tc>
          <w:tcPr>
            <w:tcW w:w="89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检查时符合要求。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465" w:type="dxa"/>
            <w:vAlign w:val="center"/>
          </w:tcPr>
          <w:p>
            <w:pPr>
              <w:numPr>
                <w:ilvl w:val="0"/>
                <w:numId w:val="29"/>
              </w:numPr>
              <w:spacing w:line="300" w:lineRule="exact"/>
              <w:jc w:val="center"/>
              <w:rPr>
                <w:rFonts w:hint="default" w:ascii="Times New Roman" w:hAnsi="Times New Roman" w:cs="Times New Roman"/>
                <w:sz w:val="21"/>
                <w:szCs w:val="21"/>
              </w:rPr>
            </w:pPr>
          </w:p>
        </w:tc>
        <w:tc>
          <w:tcPr>
            <w:tcW w:w="4410"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供电电压大于等于35kV时，用户的一级配电电压宜采用10kV；当6kV用电设备的总容量较大，选用6kV经济合理时，宜采用6kV；低压配电电压宜采用220/380V，工矿企业亦可采用660V；当安全需要时，应采用小于50V电压。</w:t>
            </w:r>
          </w:p>
        </w:tc>
        <w:tc>
          <w:tcPr>
            <w:tcW w:w="1731" w:type="dxa"/>
            <w:vAlign w:val="center"/>
          </w:tcPr>
          <w:p>
            <w:pPr>
              <w:spacing w:line="300" w:lineRule="exact"/>
              <w:jc w:val="center"/>
              <w:rPr>
                <w:rFonts w:hint="default" w:ascii="Times New Roman" w:hAnsi="Times New Roman" w:cs="Times New Roman"/>
                <w:sz w:val="21"/>
                <w:szCs w:val="21"/>
              </w:rPr>
            </w:pPr>
          </w:p>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《供配电系统设计规范》GB50052-2009</w:t>
            </w:r>
          </w:p>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第5.0.2条</w:t>
            </w:r>
          </w:p>
        </w:tc>
        <w:tc>
          <w:tcPr>
            <w:tcW w:w="89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低压配电电压采用220/380V。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vAlign w:val="center"/>
          </w:tcPr>
          <w:p>
            <w:pPr>
              <w:numPr>
                <w:ilvl w:val="0"/>
                <w:numId w:val="29"/>
              </w:numPr>
              <w:spacing w:line="300" w:lineRule="exact"/>
              <w:jc w:val="center"/>
              <w:rPr>
                <w:rFonts w:hint="default" w:ascii="Times New Roman" w:hAnsi="Times New Roman" w:cs="Times New Roman"/>
                <w:sz w:val="21"/>
                <w:szCs w:val="21"/>
              </w:rPr>
            </w:pPr>
          </w:p>
        </w:tc>
        <w:tc>
          <w:tcPr>
            <w:tcW w:w="4410"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当用电设备为大容量或负荷性质重要，或在有特殊要求的车间、建筑物内，宜采用放射式配电。</w:t>
            </w:r>
          </w:p>
        </w:tc>
        <w:tc>
          <w:tcPr>
            <w:tcW w:w="173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《供配电系统设计规范》GB50052-2009</w:t>
            </w:r>
          </w:p>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第7.0.3条</w:t>
            </w:r>
          </w:p>
        </w:tc>
        <w:tc>
          <w:tcPr>
            <w:tcW w:w="89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用电设备为较大容量采用放射式配电。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vAlign w:val="center"/>
          </w:tcPr>
          <w:p>
            <w:pPr>
              <w:numPr>
                <w:ilvl w:val="0"/>
                <w:numId w:val="29"/>
              </w:numPr>
              <w:spacing w:line="300" w:lineRule="exact"/>
              <w:jc w:val="center"/>
              <w:rPr>
                <w:rFonts w:hint="default" w:ascii="Times New Roman" w:hAnsi="Times New Roman" w:cs="Times New Roman"/>
                <w:sz w:val="21"/>
                <w:szCs w:val="21"/>
              </w:rPr>
            </w:pPr>
          </w:p>
        </w:tc>
        <w:tc>
          <w:tcPr>
            <w:tcW w:w="4410"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由建筑物外引入的配电线路，应在室内靠近进线点便于操作维护的地方装设隔离电器。</w:t>
            </w:r>
          </w:p>
        </w:tc>
        <w:tc>
          <w:tcPr>
            <w:tcW w:w="173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《供配电系统设计规范》GB50052-2009</w:t>
            </w:r>
          </w:p>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第7.0.10条</w:t>
            </w:r>
          </w:p>
        </w:tc>
        <w:tc>
          <w:tcPr>
            <w:tcW w:w="89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装设有隔离电器低压配电柜。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vAlign w:val="center"/>
          </w:tcPr>
          <w:p>
            <w:pPr>
              <w:numPr>
                <w:ilvl w:val="0"/>
                <w:numId w:val="29"/>
              </w:numPr>
              <w:spacing w:line="300" w:lineRule="exact"/>
              <w:jc w:val="center"/>
              <w:rPr>
                <w:rFonts w:hint="default" w:ascii="Times New Roman" w:hAnsi="Times New Roman" w:cs="Times New Roman"/>
                <w:sz w:val="21"/>
                <w:szCs w:val="21"/>
              </w:rPr>
            </w:pPr>
          </w:p>
        </w:tc>
        <w:tc>
          <w:tcPr>
            <w:tcW w:w="4410"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配电室的位置应靠近用电负荷中心，设置在尘埃少、腐蚀介质少、周围环境干燥和无剧烈振动的地方，并宜留有发展余地。</w:t>
            </w:r>
          </w:p>
        </w:tc>
        <w:tc>
          <w:tcPr>
            <w:tcW w:w="173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《低压配电设计规范》GB50054-2011</w:t>
            </w:r>
          </w:p>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第4.1.1条</w:t>
            </w:r>
          </w:p>
        </w:tc>
        <w:tc>
          <w:tcPr>
            <w:tcW w:w="89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配电室的位置靠近用电负荷中心。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vAlign w:val="center"/>
          </w:tcPr>
          <w:p>
            <w:pPr>
              <w:numPr>
                <w:ilvl w:val="0"/>
                <w:numId w:val="29"/>
              </w:numPr>
              <w:spacing w:line="300" w:lineRule="exact"/>
              <w:jc w:val="center"/>
              <w:rPr>
                <w:rFonts w:hint="default" w:ascii="Times New Roman" w:hAnsi="Times New Roman" w:cs="Times New Roman"/>
                <w:sz w:val="21"/>
                <w:szCs w:val="21"/>
              </w:rPr>
            </w:pPr>
          </w:p>
        </w:tc>
        <w:tc>
          <w:tcPr>
            <w:tcW w:w="4410"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落地式配电箱的底部应抬高，高出地面的高度室内不应低于50mm，室外不应低于200mm。其底座周围应采取封闭措施，并应能防止鼠、蛇类等小动物进入箱内。</w:t>
            </w:r>
          </w:p>
        </w:tc>
        <w:tc>
          <w:tcPr>
            <w:tcW w:w="173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《低压配电设计规范》GB50054-2011</w:t>
            </w:r>
          </w:p>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第4.2.1条</w:t>
            </w:r>
          </w:p>
        </w:tc>
        <w:tc>
          <w:tcPr>
            <w:tcW w:w="89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按规定设置配电箱。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vAlign w:val="center"/>
          </w:tcPr>
          <w:p>
            <w:pPr>
              <w:numPr>
                <w:ilvl w:val="0"/>
                <w:numId w:val="29"/>
              </w:numPr>
              <w:spacing w:line="300" w:lineRule="exact"/>
              <w:jc w:val="center"/>
              <w:rPr>
                <w:rFonts w:hint="default" w:ascii="Times New Roman" w:hAnsi="Times New Roman" w:cs="Times New Roman"/>
                <w:sz w:val="21"/>
                <w:szCs w:val="21"/>
              </w:rPr>
            </w:pPr>
          </w:p>
        </w:tc>
        <w:tc>
          <w:tcPr>
            <w:tcW w:w="4410"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标称电压超过交流方均根值25V容易被触及的裸带电体，应设置遮拦或外护物。</w:t>
            </w:r>
          </w:p>
        </w:tc>
        <w:tc>
          <w:tcPr>
            <w:tcW w:w="173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《低压配电设计规范》GB50054-2011</w:t>
            </w:r>
          </w:p>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第5.1.2条</w:t>
            </w:r>
          </w:p>
        </w:tc>
        <w:tc>
          <w:tcPr>
            <w:tcW w:w="89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易被触及的裸带电体设置遮拦。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vAlign w:val="center"/>
          </w:tcPr>
          <w:p>
            <w:pPr>
              <w:numPr>
                <w:ilvl w:val="0"/>
                <w:numId w:val="29"/>
              </w:numPr>
              <w:spacing w:line="300" w:lineRule="exact"/>
              <w:jc w:val="center"/>
              <w:rPr>
                <w:rFonts w:hint="default" w:ascii="Times New Roman" w:hAnsi="Times New Roman" w:cs="Times New Roman"/>
                <w:sz w:val="21"/>
                <w:szCs w:val="21"/>
              </w:rPr>
            </w:pPr>
          </w:p>
        </w:tc>
        <w:tc>
          <w:tcPr>
            <w:tcW w:w="4410"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当裸带电体采用遮拦或外护物防护有困难时，在电气专用房间或区域宜采用栏杆或网状屏障等阻挡物进行防护。</w:t>
            </w:r>
          </w:p>
        </w:tc>
        <w:tc>
          <w:tcPr>
            <w:tcW w:w="173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《低压配电设计规范》GB50054-2011</w:t>
            </w:r>
          </w:p>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第5.1.7条</w:t>
            </w:r>
          </w:p>
        </w:tc>
        <w:tc>
          <w:tcPr>
            <w:tcW w:w="89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有防护。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vAlign w:val="center"/>
          </w:tcPr>
          <w:p>
            <w:pPr>
              <w:numPr>
                <w:ilvl w:val="0"/>
                <w:numId w:val="29"/>
              </w:numPr>
              <w:spacing w:line="300" w:lineRule="exact"/>
              <w:jc w:val="center"/>
              <w:rPr>
                <w:rFonts w:hint="default" w:ascii="Times New Roman" w:hAnsi="Times New Roman" w:cs="Times New Roman"/>
                <w:sz w:val="21"/>
                <w:szCs w:val="21"/>
              </w:rPr>
            </w:pPr>
          </w:p>
        </w:tc>
        <w:tc>
          <w:tcPr>
            <w:tcW w:w="4410"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在电气专用房间或区域，不采用遮拦、外护物或阻挡物时，应将人可能无意识同时触及的不同电位的可导电部分置于人的伸臂范围以外。</w:t>
            </w:r>
          </w:p>
        </w:tc>
        <w:tc>
          <w:tcPr>
            <w:tcW w:w="173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《低压配电设计规范》GB50054-2011</w:t>
            </w:r>
          </w:p>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第5.1.10条</w:t>
            </w:r>
          </w:p>
        </w:tc>
        <w:tc>
          <w:tcPr>
            <w:tcW w:w="89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置于人的伸臂范围以外。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vAlign w:val="center"/>
          </w:tcPr>
          <w:p>
            <w:pPr>
              <w:numPr>
                <w:ilvl w:val="0"/>
                <w:numId w:val="29"/>
              </w:numPr>
              <w:spacing w:line="300" w:lineRule="exact"/>
              <w:jc w:val="center"/>
              <w:rPr>
                <w:rFonts w:hint="default" w:ascii="Times New Roman" w:hAnsi="Times New Roman" w:cs="Times New Roman"/>
                <w:sz w:val="21"/>
                <w:szCs w:val="21"/>
              </w:rPr>
            </w:pPr>
          </w:p>
        </w:tc>
        <w:tc>
          <w:tcPr>
            <w:tcW w:w="4410"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配电线路应装设短路保护和过负荷保护。</w:t>
            </w:r>
          </w:p>
        </w:tc>
        <w:tc>
          <w:tcPr>
            <w:tcW w:w="173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《低压配电设计规范》GB50054-2011</w:t>
            </w:r>
          </w:p>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第6.1.1条</w:t>
            </w:r>
          </w:p>
        </w:tc>
        <w:tc>
          <w:tcPr>
            <w:tcW w:w="891" w:type="dxa"/>
            <w:vAlign w:val="center"/>
          </w:tcPr>
          <w:p>
            <w:pPr>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配电线路装设短路保护和过负荷保护。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vAlign w:val="center"/>
          </w:tcPr>
          <w:p>
            <w:pPr>
              <w:numPr>
                <w:ilvl w:val="0"/>
                <w:numId w:val="29"/>
              </w:numPr>
              <w:spacing w:line="280" w:lineRule="exact"/>
              <w:jc w:val="center"/>
              <w:rPr>
                <w:rFonts w:hint="default" w:ascii="Times New Roman" w:hAnsi="Times New Roman" w:cs="Times New Roman"/>
                <w:sz w:val="21"/>
                <w:szCs w:val="21"/>
              </w:rPr>
            </w:pPr>
          </w:p>
        </w:tc>
        <w:tc>
          <w:tcPr>
            <w:tcW w:w="4410"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在可能发生对地闪击的地区，遇下列情况之一时，应划为第二类防雷建筑物：</w:t>
            </w:r>
          </w:p>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1、具有1区或21区爆炸危险场所的建筑物，且电火花不易引起爆炸或不致造成巨大破坏和人身伤亡者。</w:t>
            </w:r>
          </w:p>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2、具有2区或22区爆炸危险场所的建筑物。</w:t>
            </w:r>
          </w:p>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3、有爆炸危险的露天钢质封闭气罐。</w:t>
            </w:r>
          </w:p>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4、预计雷击次数大于0.05次/a的部、省级办公建筑物和其他重要或人员密集的公共建筑物以及火灾危险场所。</w:t>
            </w:r>
          </w:p>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5、预计雷击次数大于0.25次/a的住宅、办公楼等一般性民用建筑物或一般性工业建筑物。</w:t>
            </w:r>
          </w:p>
        </w:tc>
        <w:tc>
          <w:tcPr>
            <w:tcW w:w="1731"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《建筑物防雷设计规范》GB50057-2010</w:t>
            </w:r>
          </w:p>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第3.0.3条</w:t>
            </w:r>
          </w:p>
        </w:tc>
        <w:tc>
          <w:tcPr>
            <w:tcW w:w="891"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280" w:lineRule="exact"/>
              <w:rPr>
                <w:rFonts w:hint="default" w:ascii="Times New Roman" w:hAnsi="Times New Roman" w:cs="Times New Roman"/>
                <w:sz w:val="21"/>
                <w:szCs w:val="21"/>
              </w:rPr>
            </w:pPr>
            <w:r>
              <w:rPr>
                <w:rFonts w:hint="eastAsia" w:cs="Times New Roman"/>
                <w:sz w:val="21"/>
                <w:szCs w:val="21"/>
                <w:lang w:val="en-US" w:eastAsia="zh-CN"/>
              </w:rPr>
              <w:t>不涉及爆炸危险区域</w:t>
            </w: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vAlign w:val="center"/>
          </w:tcPr>
          <w:p>
            <w:pPr>
              <w:numPr>
                <w:ilvl w:val="0"/>
                <w:numId w:val="29"/>
              </w:numPr>
              <w:spacing w:line="280" w:lineRule="exact"/>
              <w:jc w:val="center"/>
              <w:rPr>
                <w:rFonts w:hint="default" w:ascii="Times New Roman" w:hAnsi="Times New Roman" w:cs="Times New Roman"/>
                <w:sz w:val="21"/>
                <w:szCs w:val="21"/>
              </w:rPr>
            </w:pPr>
          </w:p>
        </w:tc>
        <w:tc>
          <w:tcPr>
            <w:tcW w:w="4410"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各类防雷建筑物应采取防直击雷和防雷电波侵入的措施。</w:t>
            </w:r>
          </w:p>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第一类防雷建筑物和本规范第2.0.3条四、五、六款所规定的第二类防雷建筑物尚应采取防雷电感应的措施。</w:t>
            </w:r>
          </w:p>
        </w:tc>
        <w:tc>
          <w:tcPr>
            <w:tcW w:w="1731"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《建筑物防雷设计规范》</w:t>
            </w:r>
          </w:p>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GB50057-2010</w:t>
            </w:r>
          </w:p>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第3.1.1条</w:t>
            </w:r>
          </w:p>
        </w:tc>
        <w:tc>
          <w:tcPr>
            <w:tcW w:w="891"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采取防直击雷和防雷电波侵入的措施。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65" w:type="dxa"/>
            <w:vAlign w:val="center"/>
          </w:tcPr>
          <w:p>
            <w:pPr>
              <w:numPr>
                <w:ilvl w:val="0"/>
                <w:numId w:val="29"/>
              </w:numPr>
              <w:spacing w:line="280" w:lineRule="exact"/>
              <w:jc w:val="center"/>
              <w:rPr>
                <w:rFonts w:hint="default" w:ascii="Times New Roman" w:hAnsi="Times New Roman" w:cs="Times New Roman"/>
                <w:sz w:val="21"/>
                <w:szCs w:val="21"/>
              </w:rPr>
            </w:pPr>
          </w:p>
        </w:tc>
        <w:tc>
          <w:tcPr>
            <w:tcW w:w="4410" w:type="dxa"/>
            <w:vAlign w:val="center"/>
          </w:tcPr>
          <w:p>
            <w:pPr>
              <w:widowControl/>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各类防雷建筑物应设防直击雷的外部防雷装置，并应采取防闪电电涌侵入的措施。</w:t>
            </w:r>
          </w:p>
          <w:p>
            <w:pPr>
              <w:widowControl/>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第一类防雷建筑物和本规范第3.0.3条5～7款所规定的第二类防雷建筑物，尚应采取防闪电感应的措施。</w:t>
            </w:r>
          </w:p>
        </w:tc>
        <w:tc>
          <w:tcPr>
            <w:tcW w:w="1731"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《建筑物防雷设计规范》GB50057-2010</w:t>
            </w:r>
          </w:p>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第4.1.1条</w:t>
            </w:r>
          </w:p>
        </w:tc>
        <w:tc>
          <w:tcPr>
            <w:tcW w:w="891"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采取了防闪电电涌侵入的措施。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465" w:type="dxa"/>
            <w:vAlign w:val="center"/>
          </w:tcPr>
          <w:p>
            <w:pPr>
              <w:numPr>
                <w:ilvl w:val="0"/>
                <w:numId w:val="29"/>
              </w:numPr>
              <w:spacing w:line="280" w:lineRule="exact"/>
              <w:jc w:val="center"/>
              <w:rPr>
                <w:rFonts w:hint="default" w:ascii="Times New Roman" w:hAnsi="Times New Roman" w:cs="Times New Roman"/>
                <w:sz w:val="21"/>
                <w:szCs w:val="21"/>
              </w:rPr>
            </w:pPr>
          </w:p>
        </w:tc>
        <w:tc>
          <w:tcPr>
            <w:tcW w:w="4410"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化工装置的架空管道以及变配电装置和低压供电线路终端.应设计防雷电波侵人的防护措施。</w:t>
            </w:r>
          </w:p>
        </w:tc>
        <w:tc>
          <w:tcPr>
            <w:tcW w:w="1731"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《化工企业安全卫生设计规定》HG20571-2014</w:t>
            </w:r>
          </w:p>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第4.3.6条</w:t>
            </w:r>
          </w:p>
        </w:tc>
        <w:tc>
          <w:tcPr>
            <w:tcW w:w="891"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设计有防雷电波侵入的防护措施。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465" w:type="dxa"/>
            <w:vAlign w:val="center"/>
          </w:tcPr>
          <w:p>
            <w:pPr>
              <w:numPr>
                <w:ilvl w:val="0"/>
                <w:numId w:val="29"/>
              </w:numPr>
              <w:spacing w:line="280" w:lineRule="exact"/>
              <w:jc w:val="center"/>
              <w:rPr>
                <w:rFonts w:hint="default" w:ascii="Times New Roman" w:hAnsi="Times New Roman" w:cs="Times New Roman"/>
                <w:sz w:val="21"/>
                <w:szCs w:val="21"/>
              </w:rPr>
            </w:pPr>
          </w:p>
        </w:tc>
        <w:tc>
          <w:tcPr>
            <w:tcW w:w="4410"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正常不带电而亊故时可能带电的配电装置及电气设备外露可导电部分，均应按现行国家标准《交流电气装置的接地设计规范GBT50065的要求设置接地装置。</w:t>
            </w:r>
          </w:p>
        </w:tc>
        <w:tc>
          <w:tcPr>
            <w:tcW w:w="1731"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《化工企业安全卫生设计规定》HG20571-2014</w:t>
            </w:r>
          </w:p>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第4.4.1条</w:t>
            </w:r>
          </w:p>
        </w:tc>
        <w:tc>
          <w:tcPr>
            <w:tcW w:w="891"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进行了可靠接地。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vAlign w:val="center"/>
          </w:tcPr>
          <w:p>
            <w:pPr>
              <w:numPr>
                <w:ilvl w:val="0"/>
                <w:numId w:val="29"/>
              </w:numPr>
              <w:spacing w:line="280" w:lineRule="exact"/>
              <w:jc w:val="center"/>
              <w:rPr>
                <w:rFonts w:hint="default" w:ascii="Times New Roman" w:hAnsi="Times New Roman" w:cs="Times New Roman"/>
                <w:sz w:val="21"/>
                <w:szCs w:val="21"/>
              </w:rPr>
            </w:pPr>
          </w:p>
        </w:tc>
        <w:tc>
          <w:tcPr>
            <w:tcW w:w="4410"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露天或半露天的变电所，不应设置在下列场所：</w:t>
            </w:r>
          </w:p>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1 有腐蚀性气体的场所；</w:t>
            </w:r>
          </w:p>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2 挑檐为燃烧体或难燃体和耐火等级为四级的建筑物旁；</w:t>
            </w:r>
          </w:p>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3 附近有棉、粮及其他易燃、易爆物品集中的露天堆场；</w:t>
            </w:r>
          </w:p>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4 容易沉积可燃粉尘、可燃纤维、灰尘或导屯尘埃且会严重影响变压器安全运行的场所。</w:t>
            </w:r>
          </w:p>
        </w:tc>
        <w:tc>
          <w:tcPr>
            <w:tcW w:w="1731"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《20kv及以下变电所设计规范》2.0.6</w:t>
            </w:r>
          </w:p>
        </w:tc>
        <w:tc>
          <w:tcPr>
            <w:tcW w:w="891"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未设置在上述场所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vAlign w:val="center"/>
          </w:tcPr>
          <w:p>
            <w:pPr>
              <w:numPr>
                <w:ilvl w:val="0"/>
                <w:numId w:val="29"/>
              </w:numPr>
              <w:spacing w:line="280" w:lineRule="exact"/>
              <w:jc w:val="center"/>
              <w:rPr>
                <w:rFonts w:hint="default" w:ascii="Times New Roman" w:hAnsi="Times New Roman" w:cs="Times New Roman"/>
                <w:sz w:val="21"/>
                <w:szCs w:val="21"/>
              </w:rPr>
            </w:pPr>
          </w:p>
        </w:tc>
        <w:tc>
          <w:tcPr>
            <w:tcW w:w="4410"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长度大于7m的配电室应设两个安全出口，并宜布置在配电室的两端。当配电室的长度大于60m时，宜增加一个安全出口，相邻安全出口之间的距离不应大于40m。</w:t>
            </w:r>
          </w:p>
        </w:tc>
        <w:tc>
          <w:tcPr>
            <w:tcW w:w="1731"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《20kv及以下变电所设计规范》6.2.6</w:t>
            </w:r>
          </w:p>
        </w:tc>
        <w:tc>
          <w:tcPr>
            <w:tcW w:w="891"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配电间长度大于7m，设有2个安全出口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vAlign w:val="center"/>
          </w:tcPr>
          <w:p>
            <w:pPr>
              <w:numPr>
                <w:ilvl w:val="0"/>
                <w:numId w:val="29"/>
              </w:numPr>
              <w:spacing w:line="280" w:lineRule="exact"/>
              <w:jc w:val="center"/>
              <w:rPr>
                <w:rFonts w:hint="default" w:ascii="Times New Roman" w:hAnsi="Times New Roman" w:cs="Times New Roman"/>
                <w:sz w:val="21"/>
                <w:szCs w:val="21"/>
              </w:rPr>
            </w:pPr>
          </w:p>
        </w:tc>
        <w:tc>
          <w:tcPr>
            <w:tcW w:w="4410"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高、低压配电室、变压器室、电容器室、控制室内不应有无关的管道和线路通过。</w:t>
            </w:r>
          </w:p>
        </w:tc>
        <w:tc>
          <w:tcPr>
            <w:tcW w:w="1731"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《20kv及以下变电所设计规范》6. 4.1</w:t>
            </w:r>
          </w:p>
        </w:tc>
        <w:tc>
          <w:tcPr>
            <w:tcW w:w="891"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现场检查时未发现无关的管道和线路通过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vAlign w:val="center"/>
          </w:tcPr>
          <w:p>
            <w:pPr>
              <w:numPr>
                <w:ilvl w:val="0"/>
                <w:numId w:val="29"/>
              </w:numPr>
              <w:spacing w:line="280" w:lineRule="exact"/>
              <w:jc w:val="center"/>
              <w:rPr>
                <w:rFonts w:hint="default" w:ascii="Times New Roman" w:hAnsi="Times New Roman" w:cs="Times New Roman"/>
                <w:sz w:val="21"/>
                <w:szCs w:val="21"/>
              </w:rPr>
            </w:pPr>
          </w:p>
        </w:tc>
        <w:tc>
          <w:tcPr>
            <w:tcW w:w="4410" w:type="dxa"/>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配电装置的布置和导体、电器、架构的选择，应符合正常运行、检修以及过电流和过电压等故障情况的要求。</w:t>
            </w:r>
          </w:p>
        </w:tc>
        <w:tc>
          <w:tcPr>
            <w:tcW w:w="1731" w:type="dxa"/>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《20kv及以下变电所设计规范》3. 1. 1</w:t>
            </w:r>
          </w:p>
        </w:tc>
        <w:tc>
          <w:tcPr>
            <w:tcW w:w="891" w:type="dxa"/>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符合正常运行、检修以及过电流和过电压等故障情况的要求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tcPr>
          <w:p>
            <w:pPr>
              <w:numPr>
                <w:ilvl w:val="0"/>
                <w:numId w:val="29"/>
              </w:numPr>
              <w:spacing w:line="280" w:lineRule="exact"/>
              <w:jc w:val="center"/>
              <w:rPr>
                <w:rFonts w:hint="default" w:ascii="Times New Roman" w:hAnsi="Times New Roman" w:cs="Times New Roman"/>
                <w:sz w:val="21"/>
                <w:szCs w:val="21"/>
              </w:rPr>
            </w:pPr>
          </w:p>
        </w:tc>
        <w:tc>
          <w:tcPr>
            <w:tcW w:w="4410" w:type="dxa"/>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变电所宜单层布置。当采用双层布置时，变压器应设在底层，设于二层的配电室应设搬运设备的通道、平台或孔洞。</w:t>
            </w:r>
          </w:p>
        </w:tc>
        <w:tc>
          <w:tcPr>
            <w:tcW w:w="1731" w:type="dxa"/>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《20kv及以下变电所设计规范》4. 1. 5</w:t>
            </w:r>
          </w:p>
        </w:tc>
        <w:tc>
          <w:tcPr>
            <w:tcW w:w="891" w:type="dxa"/>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单层布置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tcPr>
          <w:p>
            <w:pPr>
              <w:numPr>
                <w:ilvl w:val="0"/>
                <w:numId w:val="29"/>
              </w:numPr>
              <w:spacing w:line="280" w:lineRule="exact"/>
              <w:jc w:val="center"/>
              <w:rPr>
                <w:rFonts w:hint="default" w:ascii="Times New Roman" w:hAnsi="Times New Roman" w:cs="Times New Roman"/>
                <w:sz w:val="21"/>
                <w:szCs w:val="21"/>
              </w:rPr>
            </w:pPr>
          </w:p>
        </w:tc>
        <w:tc>
          <w:tcPr>
            <w:tcW w:w="4410"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变压器室、配电室和电容器室的耐火等级不应低于二级。</w:t>
            </w:r>
          </w:p>
        </w:tc>
        <w:tc>
          <w:tcPr>
            <w:tcW w:w="1731" w:type="dxa"/>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《20kv及以下变电所设计规范》6.1.1</w:t>
            </w:r>
          </w:p>
        </w:tc>
        <w:tc>
          <w:tcPr>
            <w:tcW w:w="891" w:type="dxa"/>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配电室耐火等级二级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tcPr>
          <w:p>
            <w:pPr>
              <w:numPr>
                <w:ilvl w:val="0"/>
                <w:numId w:val="29"/>
              </w:numPr>
              <w:spacing w:line="280" w:lineRule="exact"/>
              <w:jc w:val="center"/>
              <w:rPr>
                <w:rFonts w:hint="default" w:ascii="Times New Roman" w:hAnsi="Times New Roman" w:cs="Times New Roman"/>
                <w:sz w:val="21"/>
                <w:szCs w:val="21"/>
              </w:rPr>
            </w:pPr>
          </w:p>
        </w:tc>
        <w:tc>
          <w:tcPr>
            <w:tcW w:w="4410"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变电所各房间经常开启的门、窗，不应直通相邻的酸、碱、蒸汽、粉尘和噪声严重的场所。</w:t>
            </w:r>
          </w:p>
        </w:tc>
        <w:tc>
          <w:tcPr>
            <w:tcW w:w="1731" w:type="dxa"/>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《20kv及以下变电所设计规范》6.2.3</w:t>
            </w:r>
          </w:p>
        </w:tc>
        <w:tc>
          <w:tcPr>
            <w:tcW w:w="891" w:type="dxa"/>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不直通相邻的酸、碱、蒸汽、粉尘和噪声严重的场所。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tcPr>
          <w:p>
            <w:pPr>
              <w:numPr>
                <w:ilvl w:val="0"/>
                <w:numId w:val="29"/>
              </w:numPr>
              <w:spacing w:line="280" w:lineRule="exact"/>
              <w:jc w:val="center"/>
              <w:rPr>
                <w:rFonts w:hint="default" w:ascii="Times New Roman" w:hAnsi="Times New Roman" w:cs="Times New Roman"/>
                <w:sz w:val="21"/>
                <w:szCs w:val="21"/>
              </w:rPr>
            </w:pPr>
          </w:p>
        </w:tc>
        <w:tc>
          <w:tcPr>
            <w:tcW w:w="4410"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变压器室、配电室、电容器室等房间应设置防止雨、雪和蛇、鼠等小动物从采光窗、通风窗、门、电缆沟等处进入室内的设施。</w:t>
            </w:r>
          </w:p>
        </w:tc>
        <w:tc>
          <w:tcPr>
            <w:tcW w:w="1731"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《20kv及以下变电所设计规范》6.2.4</w:t>
            </w:r>
          </w:p>
        </w:tc>
        <w:tc>
          <w:tcPr>
            <w:tcW w:w="891"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89"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设置防护网、挡鼠板及孔洞封堵措施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65" w:type="dxa"/>
          </w:tcPr>
          <w:p>
            <w:pPr>
              <w:numPr>
                <w:ilvl w:val="0"/>
                <w:numId w:val="29"/>
              </w:numPr>
              <w:spacing w:line="280" w:lineRule="exact"/>
              <w:jc w:val="center"/>
              <w:rPr>
                <w:rFonts w:hint="default" w:ascii="Times New Roman" w:hAnsi="Times New Roman" w:cs="Times New Roman"/>
                <w:sz w:val="21"/>
                <w:szCs w:val="21"/>
              </w:rPr>
            </w:pPr>
          </w:p>
        </w:tc>
        <w:tc>
          <w:tcPr>
            <w:tcW w:w="4410"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rPr>
              <w:t>电缆敷设应排列整齐，不宜交叉，加以固定，并装设标志牌。</w:t>
            </w:r>
          </w:p>
        </w:tc>
        <w:tc>
          <w:tcPr>
            <w:tcW w:w="1731" w:type="dxa"/>
            <w:vAlign w:val="center"/>
          </w:tcPr>
          <w:p>
            <w:pPr>
              <w:spacing w:line="280" w:lineRule="exac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GB50168-</w:t>
            </w:r>
            <w:r>
              <w:rPr>
                <w:rFonts w:hint="default" w:ascii="Times New Roman" w:hAnsi="Times New Roman" w:cs="Times New Roman"/>
                <w:sz w:val="21"/>
                <w:szCs w:val="21"/>
                <w:lang w:val="en-US" w:eastAsia="zh-CN"/>
              </w:rPr>
              <w:t>2018</w:t>
            </w:r>
          </w:p>
        </w:tc>
        <w:tc>
          <w:tcPr>
            <w:tcW w:w="891" w:type="dxa"/>
            <w:vAlign w:val="center"/>
          </w:tcPr>
          <w:p>
            <w:pPr>
              <w:spacing w:line="280" w:lineRule="exact"/>
              <w:rPr>
                <w:rFonts w:hint="default" w:ascii="Times New Roman" w:hAnsi="Times New Roman" w:cs="Times New Roman"/>
                <w:sz w:val="21"/>
                <w:szCs w:val="21"/>
              </w:rPr>
            </w:pPr>
            <w:r>
              <w:rPr>
                <w:rFonts w:hint="default" w:ascii="Times New Roman" w:hAnsi="Times New Roman" w:cs="Times New Roman"/>
                <w:sz w:val="21"/>
                <w:szCs w:val="21"/>
                <w:lang w:val="en-US" w:eastAsia="zh-CN"/>
              </w:rPr>
              <w:t>不</w:t>
            </w:r>
            <w:r>
              <w:rPr>
                <w:rFonts w:hint="default" w:ascii="Times New Roman" w:hAnsi="Times New Roman" w:cs="Times New Roman"/>
                <w:sz w:val="21"/>
                <w:szCs w:val="21"/>
              </w:rPr>
              <w:t>符合</w:t>
            </w:r>
          </w:p>
        </w:tc>
        <w:tc>
          <w:tcPr>
            <w:tcW w:w="1789" w:type="dxa"/>
            <w:vAlign w:val="center"/>
          </w:tcPr>
          <w:p>
            <w:pPr>
              <w:spacing w:line="280" w:lineRule="exac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存在电缆线路未固定的情况</w:t>
            </w:r>
          </w:p>
        </w:tc>
      </w:tr>
    </w:tbl>
    <w:p>
      <w:pPr>
        <w:spacing w:line="360" w:lineRule="auto"/>
        <w:ind w:firstLine="530" w:firstLineChars="200"/>
        <w:rPr>
          <w:rFonts w:hint="default" w:ascii="Times New Roman" w:hAnsi="Times New Roman" w:cs="Times New Roman"/>
          <w:b/>
          <w:bCs/>
          <w:spacing w:val="-8"/>
        </w:rPr>
      </w:pPr>
      <w:r>
        <w:rPr>
          <w:rFonts w:hint="default" w:ascii="Times New Roman" w:hAnsi="Times New Roman" w:cs="Times New Roman"/>
          <w:b/>
          <w:bCs/>
          <w:spacing w:val="-8"/>
        </w:rPr>
        <w:t>单元评价小结</w:t>
      </w:r>
    </w:p>
    <w:p>
      <w:pPr>
        <w:spacing w:line="360" w:lineRule="auto"/>
        <w:ind w:firstLine="560" w:firstLineChars="200"/>
        <w:jc w:val="left"/>
        <w:rPr>
          <w:rFonts w:hint="default" w:ascii="Times New Roman" w:hAnsi="Times New Roman" w:cs="Times New Roman"/>
          <w:snapToGrid w:val="0"/>
        </w:rPr>
      </w:pPr>
      <w:r>
        <w:rPr>
          <w:rFonts w:hint="default" w:ascii="Times New Roman" w:hAnsi="Times New Roman" w:cs="Times New Roman"/>
          <w:snapToGrid w:val="0"/>
        </w:rPr>
        <w:t>对该单元采用安全检查表法分析，共进行了</w:t>
      </w:r>
      <w:r>
        <w:rPr>
          <w:rFonts w:hint="default" w:ascii="Times New Roman" w:hAnsi="Times New Roman" w:cs="Times New Roman"/>
          <w:sz w:val="28"/>
          <w:szCs w:val="28"/>
          <w:lang w:val="en-US" w:eastAsia="zh-CN"/>
        </w:rPr>
        <w:t>26</w:t>
      </w:r>
      <w:r>
        <w:rPr>
          <w:rFonts w:hint="default" w:ascii="Times New Roman" w:hAnsi="Times New Roman" w:cs="Times New Roman"/>
          <w:sz w:val="28"/>
          <w:szCs w:val="28"/>
        </w:rPr>
        <w:t>项</w:t>
      </w:r>
      <w:r>
        <w:rPr>
          <w:rFonts w:hint="default" w:ascii="Times New Roman" w:hAnsi="Times New Roman" w:cs="Times New Roman"/>
          <w:snapToGrid w:val="0"/>
        </w:rPr>
        <w:t>内容的检查分析，</w:t>
      </w:r>
      <w:r>
        <w:rPr>
          <w:rFonts w:hint="default" w:ascii="Times New Roman" w:hAnsi="Times New Roman" w:cs="Times New Roman"/>
          <w:snapToGrid w:val="0"/>
          <w:lang w:val="en-US" w:eastAsia="zh-CN"/>
        </w:rPr>
        <w:t>存在1项不符合项：存在电缆线路未固定的情况</w:t>
      </w:r>
      <w:r>
        <w:rPr>
          <w:rFonts w:hint="default" w:ascii="Times New Roman" w:hAnsi="Times New Roman" w:cs="Times New Roman"/>
          <w:snapToGrid w:val="0"/>
        </w:rPr>
        <w:t>。</w:t>
      </w:r>
    </w:p>
    <w:p>
      <w:pPr>
        <w:pStyle w:val="5"/>
        <w:ind w:left="0" w:leftChars="0"/>
        <w:rPr>
          <w:rFonts w:hint="default" w:ascii="Times New Roman" w:hAnsi="Times New Roman" w:cs="Times New Roman"/>
        </w:rPr>
      </w:pPr>
      <w:r>
        <w:rPr>
          <w:rFonts w:hint="default" w:ascii="Times New Roman" w:hAnsi="Times New Roman" w:cs="Times New Roman"/>
        </w:rPr>
        <w:t>C.5.2电气及仪表自动化单元</w:t>
      </w:r>
    </w:p>
    <w:p>
      <w:pPr>
        <w:spacing w:line="360" w:lineRule="auto"/>
        <w:ind w:firstLine="560" w:firstLineChars="200"/>
        <w:jc w:val="left"/>
        <w:rPr>
          <w:rFonts w:hint="default" w:ascii="Times New Roman" w:hAnsi="Times New Roman" w:cs="Times New Roman"/>
        </w:rPr>
      </w:pPr>
      <w:r>
        <w:rPr>
          <w:rFonts w:hint="default" w:ascii="Times New Roman" w:hAnsi="Times New Roman" w:cs="Times New Roman"/>
        </w:rPr>
        <w:t>评价组根据《化工企业安全卫生设计规定》、《石油化工企业生产装置电力设计规范》、《石油化工装置防雷设计规范》、《自动化仪表选型设计规定》和《控制室设计规定》等制定检查表，对该项目的电气及仪表自动化单元的电气设备选型、防雷等设备、设施等是否符合规范、标准的要求进行检查，检查结果见下表。</w:t>
      </w:r>
    </w:p>
    <w:p>
      <w:pPr>
        <w:jc w:val="center"/>
        <w:rPr>
          <w:rFonts w:hint="default" w:ascii="Times New Roman" w:hAnsi="Times New Roman" w:cs="Times New Roman"/>
        </w:rPr>
      </w:pPr>
      <w:r>
        <w:rPr>
          <w:rFonts w:hint="default" w:ascii="Times New Roman" w:hAnsi="Times New Roman" w:cs="Times New Roman"/>
        </w:rPr>
        <w:t>附表C.5-2电气及仪表自动化子单元安全检查表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372"/>
        <w:gridCol w:w="669"/>
        <w:gridCol w:w="1623"/>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355"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检查项目和内容</w:t>
            </w:r>
          </w:p>
        </w:tc>
        <w:tc>
          <w:tcPr>
            <w:tcW w:w="360"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检查结果</w:t>
            </w:r>
          </w:p>
        </w:tc>
        <w:tc>
          <w:tcPr>
            <w:tcW w:w="874"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检查依据</w:t>
            </w:r>
          </w:p>
        </w:tc>
        <w:tc>
          <w:tcPr>
            <w:tcW w:w="1180"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对具有危险和有害因素的生产过程应合理地采用机械化、自动化和计算机技术，实现遥控或隔离操作。</w:t>
            </w:r>
          </w:p>
        </w:tc>
        <w:tc>
          <w:tcPr>
            <w:tcW w:w="36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《化工企业安全卫生设计规范》3.3.3</w:t>
            </w:r>
          </w:p>
        </w:tc>
        <w:tc>
          <w:tcPr>
            <w:tcW w:w="118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采用自动化和计算机技术，实现遥控操作。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具有危险和有害因素的生产过程，应设计可靠的监测仪器、仪表，并设计必要的自动报警和自动联锁系统。</w:t>
            </w:r>
          </w:p>
        </w:tc>
        <w:tc>
          <w:tcPr>
            <w:tcW w:w="3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《化工企业安全卫生设计规范》3.3.4</w:t>
            </w:r>
          </w:p>
        </w:tc>
        <w:tc>
          <w:tcPr>
            <w:tcW w:w="11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设置了</w:t>
            </w:r>
            <w:r>
              <w:rPr>
                <w:rFonts w:hint="default" w:ascii="Times New Roman" w:hAnsi="Times New Roman" w:cs="Times New Roman"/>
                <w:sz w:val="21"/>
                <w:szCs w:val="21"/>
                <w:lang w:val="en-US" w:eastAsia="zh-CN"/>
              </w:rPr>
              <w:t>PLC</w:t>
            </w:r>
            <w:r>
              <w:rPr>
                <w:rFonts w:hint="default" w:ascii="Times New Roman" w:hAnsi="Times New Roman" w:cs="Times New Roman"/>
                <w:sz w:val="21"/>
                <w:szCs w:val="21"/>
              </w:rPr>
              <w:t>控制系统，现场设置必要的自动报警和自动联锁系统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具有火灾爆炸、毒尘危害和人身危害的作业区以及企业的供配电站、供水泵房、消防站、气防站、救护站、电话站等公用设施，应设计事故状态时能延续工作的事故照明。</w:t>
            </w:r>
          </w:p>
        </w:tc>
        <w:tc>
          <w:tcPr>
            <w:tcW w:w="3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《化工企业安全卫生设计规范》5.5.3</w:t>
            </w:r>
          </w:p>
        </w:tc>
        <w:tc>
          <w:tcPr>
            <w:tcW w:w="11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生产作业区、供配电站设有事故状态时能延续工作的事故照明。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安全仪表系统应采用操作员站作为过程信号报警和联锁动作报警的显示和记录。</w:t>
            </w:r>
          </w:p>
        </w:tc>
        <w:tc>
          <w:tcPr>
            <w:tcW w:w="3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《石油化工安全仪表系统设计规范》10.1.2</w:t>
            </w:r>
          </w:p>
        </w:tc>
        <w:tc>
          <w:tcPr>
            <w:tcW w:w="11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采用操作员站作为过程信号报警和联锁动作报警的显示和记录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操作员站应提供程序运行，联锁动作，输入、输出状态，诊断结果等显示，并应具有报警及记录功能。</w:t>
            </w:r>
          </w:p>
        </w:tc>
        <w:tc>
          <w:tcPr>
            <w:tcW w:w="3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《石油化工安全仪表系统设计规范》10.1.5</w:t>
            </w:r>
          </w:p>
        </w:tc>
        <w:tc>
          <w:tcPr>
            <w:tcW w:w="11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提诊断结果等显示，具有报警及记录功能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化工装置的架空管道以及变配电装置和低压供电线路终端，应设计防雷电波侵入的防护措施。</w:t>
            </w:r>
          </w:p>
        </w:tc>
        <w:tc>
          <w:tcPr>
            <w:tcW w:w="36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《化工企业安全卫生设计规定》4.3.6</w:t>
            </w:r>
          </w:p>
        </w:tc>
        <w:tc>
          <w:tcPr>
            <w:tcW w:w="11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变配电装置和低压供电线路终端设防雷电波侵入的防护措施。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防爆电气设备必须采用通过国家防爆检验机构检验合格的产品，如果采用新试制或非定型防爆产品时．则必须有与防爆许可证等效的允许使用证才可使用。</w:t>
            </w:r>
          </w:p>
        </w:tc>
        <w:tc>
          <w:tcPr>
            <w:tcW w:w="3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《石油化工企业生产装置电力设计规范》4.1.2</w:t>
            </w:r>
          </w:p>
        </w:tc>
        <w:tc>
          <w:tcPr>
            <w:tcW w:w="11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不涉及防爆电气。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爆炸性气体环境接地设计应符合下列要求：</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在爆炸危险区内电力设备、管线应做等电位联结并与接地网相连接。</w:t>
            </w:r>
          </w:p>
        </w:tc>
        <w:tc>
          <w:tcPr>
            <w:tcW w:w="360" w:type="pct"/>
            <w:tcBorders>
              <w:tl2br w:val="nil"/>
              <w:tr2bl w:val="nil"/>
            </w:tcBorders>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《石油化工企业生产装置电力设计规范》4.4.11</w:t>
            </w:r>
          </w:p>
        </w:tc>
        <w:tc>
          <w:tcPr>
            <w:tcW w:w="118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不涉及防爆电气。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接地干线应在爆炸危险区域不同方向不少于两处与接地体连接。</w:t>
            </w:r>
          </w:p>
        </w:tc>
        <w:tc>
          <w:tcPr>
            <w:tcW w:w="360" w:type="pct"/>
            <w:tcBorders>
              <w:tl2br w:val="nil"/>
              <w:tr2bl w:val="nil"/>
            </w:tcBorders>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《石油化工企业生产装置电力设计规范》</w:t>
            </w:r>
          </w:p>
        </w:tc>
        <w:tc>
          <w:tcPr>
            <w:tcW w:w="118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不同方向不少于两处与接地体连接。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在生产加工、储运过程中，设备、管道、操作工具及人体等，有可能产生和积聚静电而造成静电危害时，应采取静电接地措施。</w:t>
            </w:r>
          </w:p>
        </w:tc>
        <w:tc>
          <w:tcPr>
            <w:tcW w:w="360" w:type="pct"/>
            <w:tcBorders>
              <w:tl2br w:val="nil"/>
              <w:tr2bl w:val="nil"/>
            </w:tcBorders>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《石油化工静电接地设计规范》3.1.1</w:t>
            </w:r>
          </w:p>
        </w:tc>
        <w:tc>
          <w:tcPr>
            <w:tcW w:w="118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不涉及产生静电危害的场所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应在设备、管道的一定位置上，设置专有的接地连接端子，作为静电接地的连接点。</w:t>
            </w:r>
          </w:p>
        </w:tc>
        <w:tc>
          <w:tcPr>
            <w:tcW w:w="360" w:type="pct"/>
            <w:tcBorders>
              <w:tl2br w:val="nil"/>
              <w:tr2bl w:val="nil"/>
            </w:tcBorders>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《石油化工静电接地设计规范》3.4.1</w:t>
            </w:r>
          </w:p>
        </w:tc>
        <w:tc>
          <w:tcPr>
            <w:tcW w:w="118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不涉及产生静电危害的场所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接地连接端子的位置应符合下列要求： 1 不易受到外力损伤； 2 便于检查维修； 3 便于与接地干线相连； 4 不妨碍操作； 5 尽量避开容易积聚可燃混合物以及容易锈蚀的地点。</w:t>
            </w:r>
          </w:p>
        </w:tc>
        <w:tc>
          <w:tcPr>
            <w:tcW w:w="360" w:type="pct"/>
            <w:tcBorders>
              <w:tl2br w:val="nil"/>
              <w:tr2bl w:val="nil"/>
            </w:tcBorders>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《石油化工静电接地设计规范》3.4.2</w:t>
            </w:r>
          </w:p>
        </w:tc>
        <w:tc>
          <w:tcPr>
            <w:tcW w:w="118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不易受到外力损伤；便于检查维修；便于与接地干线相连；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直径大于或等于2.5m及容积大于或等于50m3的设备，其接地点不应少于两处，接地点应沿设备外围均匀布置，其间距不应大于30m。</w:t>
            </w:r>
          </w:p>
        </w:tc>
        <w:tc>
          <w:tcPr>
            <w:tcW w:w="360" w:type="pct"/>
            <w:tcBorders>
              <w:tl2br w:val="nil"/>
              <w:tr2bl w:val="nil"/>
            </w:tcBorders>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《石油化工静电接地设计规范》4.1.2</w:t>
            </w:r>
          </w:p>
        </w:tc>
        <w:tc>
          <w:tcPr>
            <w:tcW w:w="118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接地点不少于两处，接地点沿设备外围均匀布置，其间距不大于30m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站台区域内的金属管道、设备、构筑物等应进行等电位连接并接地。 </w:t>
            </w:r>
          </w:p>
        </w:tc>
        <w:tc>
          <w:tcPr>
            <w:tcW w:w="36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《石油化工静电接地设计规范》4.5.1</w:t>
            </w:r>
          </w:p>
        </w:tc>
        <w:tc>
          <w:tcPr>
            <w:tcW w:w="118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进行等电位连接并接地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每根引下线的冲击接地电阻不应大于10Ω。接地装置宜围绕塔体敷设成环形接地体。</w:t>
            </w:r>
          </w:p>
        </w:tc>
        <w:tc>
          <w:tcPr>
            <w:tcW w:w="36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《石油化工装置防雷设计规范》5.2.4</w:t>
            </w:r>
          </w:p>
        </w:tc>
        <w:tc>
          <w:tcPr>
            <w:tcW w:w="118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冲击接地电阻不大于10Ω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金属罐体应做防直击雷接地,接地点不应少于2处,并应沿罐体周边均匀布置,引下线的间距不应大于18m。每根引下线的冲击接地电阻不应大于10Ω。</w:t>
            </w:r>
          </w:p>
        </w:tc>
        <w:tc>
          <w:tcPr>
            <w:tcW w:w="36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《石油化工装置防雷设计规范》5.5.1</w:t>
            </w:r>
          </w:p>
        </w:tc>
        <w:tc>
          <w:tcPr>
            <w:tcW w:w="118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eastAsia" w:cs="Times New Roman"/>
                <w:sz w:val="21"/>
                <w:szCs w:val="21"/>
                <w:lang w:val="en-US" w:eastAsia="zh-CN"/>
              </w:rPr>
              <w:t>储罐为PP材质，</w:t>
            </w:r>
            <w:r>
              <w:rPr>
                <w:rFonts w:hint="default" w:ascii="Times New Roman" w:hAnsi="Times New Roman" w:cs="Times New Roman"/>
                <w:sz w:val="21"/>
                <w:szCs w:val="21"/>
              </w:rPr>
              <w:t>接地点不少于2处,并沿罐体周边均匀布置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投入使用后的防雷装置实行定期检测制度。防雷装置检测应当每年一次，对爆炸危险环境场所的防雷装置应当每半年检测一次。</w:t>
            </w:r>
          </w:p>
        </w:tc>
        <w:tc>
          <w:tcPr>
            <w:tcW w:w="36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《防雷减灾办法》第十九条</w:t>
            </w:r>
          </w:p>
        </w:tc>
        <w:tc>
          <w:tcPr>
            <w:tcW w:w="118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防雷装置定期检测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根 据 使用环境条件，按下列原则选用接线盒:1）普 通式:条件较好的场所;2）防 溅式、防水式:潮湿或露天的场所;3） 防 爆式:易燃、易爆的场所。</w:t>
            </w:r>
          </w:p>
        </w:tc>
        <w:tc>
          <w:tcPr>
            <w:tcW w:w="36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《自动化仪表选型设计规定》1.3.1.5</w:t>
            </w:r>
          </w:p>
        </w:tc>
        <w:tc>
          <w:tcPr>
            <w:tcW w:w="1180"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一般场所，选用普通式接线盒；易燃、易爆的场所选用防爆式接线盒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压力仪表一律使用法定计量单位。即:帕(Pa)、千帕(kPa)和兆帕(MPa).</w:t>
            </w:r>
          </w:p>
        </w:tc>
        <w:tc>
          <w:tcPr>
            <w:tcW w:w="360"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《自动化仪表选型设计规定》2.1.2.1</w:t>
            </w:r>
          </w:p>
        </w:tc>
        <w:tc>
          <w:tcPr>
            <w:tcW w:w="1180"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压力仪表一律使用法定计量单位。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备用气源来源:储气罐、备用空压机。</w:t>
            </w:r>
          </w:p>
        </w:tc>
        <w:tc>
          <w:tcPr>
            <w:tcW w:w="360" w:type="pct"/>
            <w:tcBorders>
              <w:tl2br w:val="nil"/>
              <w:tr2bl w:val="nil"/>
            </w:tcBorders>
          </w:tcPr>
          <w:p>
            <w:pPr>
              <w:spacing w:line="240" w:lineRule="auto"/>
              <w:rPr>
                <w:rFonts w:hint="default" w:ascii="Times New Roman" w:hAnsi="Times New Roman" w:cs="Times New Roman"/>
                <w:sz w:val="20"/>
                <w:szCs w:val="20"/>
              </w:rPr>
            </w:pPr>
            <w:r>
              <w:rPr>
                <w:rFonts w:hint="default" w:ascii="Times New Roman" w:hAnsi="Times New Roman" w:cs="Times New Roman"/>
                <w:sz w:val="21"/>
                <w:szCs w:val="21"/>
              </w:rPr>
              <w:t>符合要求</w:t>
            </w:r>
          </w:p>
        </w:tc>
        <w:tc>
          <w:tcPr>
            <w:tcW w:w="874" w:type="pct"/>
            <w:tcBorders>
              <w:tl2br w:val="nil"/>
              <w:tr2bl w:val="nil"/>
            </w:tcBorders>
          </w:tcPr>
          <w:p>
            <w:pPr>
              <w:spacing w:line="240" w:lineRule="auto"/>
              <w:rPr>
                <w:rFonts w:hint="default" w:ascii="Times New Roman" w:hAnsi="Times New Roman" w:cs="Times New Roman"/>
                <w:sz w:val="20"/>
                <w:szCs w:val="20"/>
              </w:rPr>
            </w:pPr>
            <w:r>
              <w:rPr>
                <w:rFonts w:hint="default" w:ascii="Times New Roman" w:hAnsi="Times New Roman" w:cs="Times New Roman"/>
                <w:sz w:val="21"/>
                <w:szCs w:val="21"/>
              </w:rPr>
              <w:t>《仪表供气设计规范》4.3.3</w:t>
            </w:r>
          </w:p>
        </w:tc>
        <w:tc>
          <w:tcPr>
            <w:tcW w:w="1180"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设有空压机和</w:t>
            </w:r>
            <w:r>
              <w:rPr>
                <w:rFonts w:hint="default" w:ascii="Times New Roman" w:hAnsi="Times New Roman" w:cs="Times New Roman"/>
                <w:sz w:val="21"/>
                <w:szCs w:val="21"/>
              </w:rPr>
              <w:t>储气罐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不同装置规模的控制室其总图位置应符合下列规定：</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1控制室宜位于装置或联合装置内，应位于爆炸危险区域外；</w:t>
            </w:r>
          </w:p>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2.中心控制室宜布置在生产管理区；</w:t>
            </w:r>
          </w:p>
        </w:tc>
        <w:tc>
          <w:tcPr>
            <w:tcW w:w="360" w:type="pct"/>
            <w:tcBorders>
              <w:tl2br w:val="nil"/>
              <w:tr2bl w:val="nil"/>
            </w:tcBorders>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《控制室设计规定》3.2.1</w:t>
            </w:r>
          </w:p>
        </w:tc>
        <w:tc>
          <w:tcPr>
            <w:tcW w:w="1180" w:type="pct"/>
            <w:tcBorders>
              <w:tl2br w:val="nil"/>
              <w:tr2bl w:val="nil"/>
            </w:tcBorders>
            <w:vAlign w:val="center"/>
          </w:tcPr>
          <w:p>
            <w:pPr>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不涉及</w:t>
            </w:r>
            <w:r>
              <w:rPr>
                <w:rFonts w:hint="default" w:ascii="Times New Roman" w:hAnsi="Times New Roman" w:cs="Times New Roman"/>
                <w:sz w:val="21"/>
                <w:szCs w:val="21"/>
              </w:rPr>
              <w:t>爆炸危险区域</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控制室布置在生产管理区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控制室不宜靠近运输物料的主干道布置；</w:t>
            </w:r>
          </w:p>
        </w:tc>
        <w:tc>
          <w:tcPr>
            <w:tcW w:w="360" w:type="pct"/>
            <w:tcBorders>
              <w:tl2br w:val="nil"/>
              <w:tr2bl w:val="nil"/>
            </w:tcBorders>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《控制室设计规定》3.2.3</w:t>
            </w:r>
          </w:p>
        </w:tc>
        <w:tc>
          <w:tcPr>
            <w:tcW w:w="1180"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未靠近运输物料的主干道布置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控制室应远离高噪声源。</w:t>
            </w:r>
          </w:p>
        </w:tc>
        <w:tc>
          <w:tcPr>
            <w:tcW w:w="360" w:type="pct"/>
            <w:tcBorders>
              <w:tl2br w:val="nil"/>
              <w:tr2bl w:val="nil"/>
            </w:tcBorders>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《控制室设计规定》3.2.4</w:t>
            </w:r>
          </w:p>
        </w:tc>
        <w:tc>
          <w:tcPr>
            <w:tcW w:w="1180"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远离高噪声源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控制室应远离振动源和存在较大电磁干扰的场所。</w:t>
            </w:r>
          </w:p>
        </w:tc>
        <w:tc>
          <w:tcPr>
            <w:tcW w:w="360" w:type="pct"/>
            <w:tcBorders>
              <w:tl2br w:val="nil"/>
              <w:tr2bl w:val="nil"/>
            </w:tcBorders>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《控制室设计规定》3.2.5</w:t>
            </w:r>
          </w:p>
        </w:tc>
        <w:tc>
          <w:tcPr>
            <w:tcW w:w="1180"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远离振动源和存在较大电磁干扰的场所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控制室不应与总变电所相邻。</w:t>
            </w:r>
          </w:p>
        </w:tc>
        <w:tc>
          <w:tcPr>
            <w:tcW w:w="360" w:type="pct"/>
            <w:tcBorders>
              <w:tl2br w:val="nil"/>
              <w:tr2bl w:val="nil"/>
            </w:tcBorders>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《控制室设计规定》3.2.7</w:t>
            </w:r>
          </w:p>
        </w:tc>
        <w:tc>
          <w:tcPr>
            <w:tcW w:w="1180"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未与总变电所相邻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控制室不应与危险化学品库相邻布置。</w:t>
            </w:r>
          </w:p>
        </w:tc>
        <w:tc>
          <w:tcPr>
            <w:tcW w:w="360" w:type="pct"/>
            <w:tcBorders>
              <w:tl2br w:val="nil"/>
              <w:tr2bl w:val="nil"/>
            </w:tcBorders>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《控制室设计规定》3.2.6</w:t>
            </w:r>
          </w:p>
        </w:tc>
        <w:tc>
          <w:tcPr>
            <w:tcW w:w="1180"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未于与危险化学品库相邻布置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控制室不宜与区域变电所相邻，如受条件限制相邻布置时，不应共用同一建筑物。</w:t>
            </w:r>
          </w:p>
        </w:tc>
        <w:tc>
          <w:tcPr>
            <w:tcW w:w="360" w:type="pct"/>
            <w:tcBorders>
              <w:tl2br w:val="nil"/>
              <w:tr2bl w:val="nil"/>
            </w:tcBorders>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《控制室设计规定》3.2.8</w:t>
            </w:r>
          </w:p>
        </w:tc>
        <w:tc>
          <w:tcPr>
            <w:tcW w:w="1180"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未与区域变电所相邻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 w:type="pct"/>
            <w:tcBorders>
              <w:tl2br w:val="nil"/>
              <w:tr2bl w:val="nil"/>
            </w:tcBorders>
            <w:vAlign w:val="center"/>
          </w:tcPr>
          <w:p>
            <w:pPr>
              <w:numPr>
                <w:ilvl w:val="0"/>
                <w:numId w:val="30"/>
              </w:numPr>
              <w:spacing w:line="240" w:lineRule="auto"/>
              <w:jc w:val="left"/>
              <w:rPr>
                <w:rFonts w:hint="default" w:ascii="Times New Roman" w:hAnsi="Times New Roman" w:cs="Times New Roman"/>
                <w:sz w:val="21"/>
                <w:szCs w:val="21"/>
              </w:rPr>
            </w:pPr>
          </w:p>
        </w:tc>
        <w:tc>
          <w:tcPr>
            <w:tcW w:w="2355"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控制室内房间布置不应与变配电所相邻；</w:t>
            </w:r>
          </w:p>
        </w:tc>
        <w:tc>
          <w:tcPr>
            <w:tcW w:w="360" w:type="pct"/>
            <w:tcBorders>
              <w:tl2br w:val="nil"/>
              <w:tr2bl w:val="nil"/>
            </w:tcBorders>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874" w:type="pct"/>
            <w:tcBorders>
              <w:tl2br w:val="nil"/>
              <w:tr2bl w:val="nil"/>
            </w:tcBorders>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《控制室设计规定》3.2.9</w:t>
            </w:r>
          </w:p>
        </w:tc>
        <w:tc>
          <w:tcPr>
            <w:tcW w:w="1180" w:type="pct"/>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不与变配电所相邻</w:t>
            </w:r>
          </w:p>
        </w:tc>
      </w:tr>
    </w:tbl>
    <w:p>
      <w:pPr>
        <w:spacing w:line="360" w:lineRule="auto"/>
        <w:ind w:firstLine="530" w:firstLineChars="200"/>
        <w:rPr>
          <w:rFonts w:hint="default" w:ascii="Times New Roman" w:hAnsi="Times New Roman" w:cs="Times New Roman"/>
          <w:b/>
          <w:bCs/>
          <w:spacing w:val="-8"/>
        </w:rPr>
      </w:pPr>
      <w:r>
        <w:rPr>
          <w:rFonts w:hint="default" w:ascii="Times New Roman" w:hAnsi="Times New Roman" w:cs="Times New Roman"/>
          <w:b/>
          <w:bCs/>
          <w:spacing w:val="-8"/>
        </w:rPr>
        <w:t>单元评价小结</w:t>
      </w:r>
    </w:p>
    <w:p>
      <w:pPr>
        <w:spacing w:line="360" w:lineRule="auto"/>
        <w:ind w:firstLine="560" w:firstLineChars="200"/>
        <w:jc w:val="left"/>
        <w:rPr>
          <w:rFonts w:hint="default" w:ascii="Times New Roman" w:hAnsi="Times New Roman" w:cs="Times New Roman"/>
          <w:snapToGrid w:val="0"/>
        </w:rPr>
      </w:pPr>
      <w:r>
        <w:rPr>
          <w:rFonts w:hint="default" w:ascii="Times New Roman" w:hAnsi="Times New Roman" w:cs="Times New Roman"/>
          <w:snapToGrid w:val="0"/>
        </w:rPr>
        <w:t>对该单元采用安全检查表法分析，共进行了</w:t>
      </w:r>
      <w:r>
        <w:rPr>
          <w:rFonts w:hint="default" w:ascii="Times New Roman" w:hAnsi="Times New Roman" w:cs="Times New Roman"/>
          <w:snapToGrid w:val="0"/>
          <w:lang w:val="en-US" w:eastAsia="zh-CN"/>
        </w:rPr>
        <w:t>28</w:t>
      </w:r>
      <w:r>
        <w:rPr>
          <w:rFonts w:hint="default" w:ascii="Times New Roman" w:hAnsi="Times New Roman" w:cs="Times New Roman"/>
          <w:snapToGrid w:val="0"/>
        </w:rPr>
        <w:t>项内容的检查分析，</w:t>
      </w:r>
      <w:r>
        <w:rPr>
          <w:rFonts w:hint="default" w:ascii="Times New Roman" w:hAnsi="Times New Roman" w:cs="Times New Roman"/>
          <w:snapToGrid w:val="0"/>
          <w:lang w:val="en-US" w:eastAsia="zh-CN"/>
        </w:rPr>
        <w:t>无不符合项</w:t>
      </w:r>
      <w:r>
        <w:rPr>
          <w:rFonts w:hint="default" w:ascii="Times New Roman" w:hAnsi="Times New Roman" w:cs="Times New Roman"/>
          <w:snapToGrid w:val="0"/>
        </w:rPr>
        <w:t>。</w:t>
      </w:r>
    </w:p>
    <w:p>
      <w:pPr>
        <w:bidi w:val="0"/>
        <w:ind w:firstLine="560" w:firstLineChars="200"/>
        <w:rPr>
          <w:rFonts w:hint="default" w:ascii="Times New Roman" w:hAnsi="Times New Roman" w:cs="Times New Roman"/>
        </w:rPr>
      </w:pPr>
      <w:r>
        <w:rPr>
          <w:rFonts w:hint="default" w:ascii="Times New Roman" w:hAnsi="Times New Roman" w:cs="Times New Roman"/>
        </w:rPr>
        <w:t>评价组根据《江西省化工企业自动化提升实施方案》的要求对该公司的自动控制系统是否符合规范、标准的要求进行检查，检查结果见下表。</w:t>
      </w:r>
    </w:p>
    <w:p>
      <w:pPr>
        <w:bidi w:val="0"/>
        <w:ind w:firstLine="560" w:firstLineChars="200"/>
        <w:rPr>
          <w:rFonts w:hint="default" w:ascii="Times New Roman" w:hAnsi="Times New Roman" w:cs="Times New Roman"/>
        </w:rPr>
      </w:pPr>
    </w:p>
    <w:p>
      <w:pPr>
        <w:bidi w:val="0"/>
        <w:ind w:firstLine="560" w:firstLineChars="200"/>
        <w:rPr>
          <w:rFonts w:hint="default" w:ascii="Times New Roman" w:hAnsi="Times New Roman" w:cs="Times New Roman"/>
        </w:rPr>
      </w:pPr>
    </w:p>
    <w:p>
      <w:pPr>
        <w:bidi w:val="0"/>
        <w:ind w:firstLine="560" w:firstLineChars="200"/>
        <w:rPr>
          <w:rFonts w:hint="default" w:ascii="Times New Roman" w:hAnsi="Times New Roman" w:cs="Times New Roman"/>
        </w:rPr>
      </w:pPr>
      <w:r>
        <w:rPr>
          <w:rFonts w:hint="default" w:ascii="Times New Roman" w:hAnsi="Times New Roman" w:cs="Times New Roman"/>
        </w:rPr>
        <w:t>附表C.5-</w:t>
      </w:r>
      <w:r>
        <w:rPr>
          <w:rFonts w:hint="default" w:ascii="Times New Roman" w:hAnsi="Times New Roman" w:cs="Times New Roman"/>
          <w:lang w:val="en-US" w:eastAsia="zh-CN"/>
        </w:rPr>
        <w:t>3</w:t>
      </w:r>
      <w:r>
        <w:rPr>
          <w:rFonts w:hint="default" w:ascii="Times New Roman" w:hAnsi="Times New Roman" w:cs="Times New Roman"/>
        </w:rPr>
        <w:t xml:space="preserve"> 《江西省化工企业自动化提升实施方案》符合性检查表</w:t>
      </w:r>
    </w:p>
    <w:p>
      <w:pPr>
        <w:bidi w:val="0"/>
        <w:rPr>
          <w:rFonts w:hint="default" w:ascii="Times New Roman" w:hAnsi="Times New Roman" w:cs="Times New Roman"/>
        </w:rPr>
      </w:pP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4103"/>
        <w:gridCol w:w="3861"/>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val="en-US" w:eastAsia="zh-CN"/>
              </w:rPr>
              <w:t>省应急厅190号文要求</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 w:val="21"/>
                <w:szCs w:val="21"/>
              </w:rPr>
              <w:t>现有</w:t>
            </w:r>
            <w:r>
              <w:rPr>
                <w:rFonts w:hint="default" w:ascii="Times New Roman" w:hAnsi="Times New Roman" w:eastAsia="宋体" w:cs="Times New Roman"/>
                <w:b/>
                <w:color w:val="auto"/>
                <w:sz w:val="21"/>
                <w:szCs w:val="21"/>
                <w:lang w:val="en-US" w:eastAsia="zh-CN"/>
              </w:rPr>
              <w:t>情况</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一</w:t>
            </w:r>
          </w:p>
        </w:tc>
        <w:tc>
          <w:tcPr>
            <w:tcW w:w="2209" w:type="pct"/>
            <w:noWrap w:val="0"/>
            <w:vAlign w:val="center"/>
          </w:tcPr>
          <w:p>
            <w:pPr>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原料、产品储罐以及装置储罐自动控制</w:t>
            </w:r>
          </w:p>
        </w:tc>
        <w:tc>
          <w:tcPr>
            <w:tcW w:w="2079" w:type="pct"/>
            <w:noWrap w:val="0"/>
            <w:vAlign w:val="center"/>
          </w:tcPr>
          <w:p>
            <w:pPr>
              <w:spacing w:line="240" w:lineRule="auto"/>
              <w:jc w:val="left"/>
              <w:rPr>
                <w:rFonts w:hint="default" w:ascii="Times New Roman" w:hAnsi="Times New Roman" w:eastAsia="宋体" w:cs="Times New Roman"/>
                <w:b/>
                <w:bCs/>
                <w:color w:val="auto"/>
                <w:kern w:val="2"/>
                <w:sz w:val="21"/>
                <w:szCs w:val="21"/>
                <w:lang w:val="en-US" w:eastAsia="zh-CN" w:bidi="ar-SA"/>
              </w:rPr>
            </w:pPr>
          </w:p>
        </w:tc>
        <w:tc>
          <w:tcPr>
            <w:tcW w:w="386" w:type="pct"/>
            <w:noWrap w:val="0"/>
            <w:vAlign w:val="center"/>
          </w:tcPr>
          <w:p>
            <w:pPr>
              <w:spacing w:line="240" w:lineRule="auto"/>
              <w:jc w:val="left"/>
              <w:rPr>
                <w:rFonts w:hint="default" w:ascii="Times New Roman" w:hAnsi="Times New Roman" w:eastAsia="宋体" w:cs="Times New Roman"/>
                <w:b/>
                <w:bCs/>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容积大于等于50m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的可燃液体储罐、有毒液体储罐、低温储罐及压力罐均应设置液位连续测量远传仪表元件和就地液位指示，并设高液位报警，浮顶储罐和有抽出泵的储罐应同时设低液位报警；易燃、有毒介质压力罐应设高高液位或高高压力联锁停止进料。设计方案或《HAZOP分析报告》提出需要设置低低液位自动联锁停泵、切断出料阀的，应同时满足其要求。</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不涉及</w:t>
            </w:r>
            <w:r>
              <w:rPr>
                <w:rFonts w:hint="default" w:ascii="Times New Roman" w:hAnsi="Times New Roman" w:eastAsia="宋体" w:cs="Times New Roman"/>
                <w:color w:val="auto"/>
                <w:sz w:val="21"/>
                <w:szCs w:val="21"/>
              </w:rPr>
              <w:t>容积大于等于50m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的可燃液体储罐、有毒液体储罐、低温储罐及压力罐</w:t>
            </w:r>
            <w:r>
              <w:rPr>
                <w:rFonts w:hint="default" w:ascii="Times New Roman" w:hAnsi="Times New Roman" w:eastAsia="宋体" w:cs="Times New Roman"/>
                <w:color w:val="auto"/>
                <w:sz w:val="21"/>
                <w:szCs w:val="21"/>
                <w:lang w:eastAsia="zh-CN"/>
              </w:rPr>
              <w:t>。</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涉及16种自身具有爆炸性危险化学品，容积小于50m3的液态原料、成品储罐，应设高液位报警。设计方案或HAZOP分析报告提出需要设置高高液位报警并联锁切断进料阀、低低液位报警并联锁停泵的，应满足其要求。</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不涉及16种爆炸性危险化学品</w:t>
            </w:r>
            <w:r>
              <w:rPr>
                <w:rFonts w:hint="default" w:ascii="Times New Roman" w:hAnsi="Times New Roman" w:eastAsia="宋体" w:cs="Times New Roman"/>
                <w:color w:val="auto"/>
                <w:sz w:val="21"/>
                <w:szCs w:val="21"/>
                <w:lang w:eastAsia="zh-CN"/>
              </w:rPr>
              <w:t>。</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储存Ⅰ级和Ⅱ级毒性液体的储罐、容量大于或等于1000m3的甲B和乙A类可燃液体的储罐、容量大于或等于3000m3的其他可燃液体储罐应设高高液位报警及联锁关闭储罐进口管道控制阀。</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毒性液体</w:t>
            </w:r>
            <w:r>
              <w:rPr>
                <w:rFonts w:hint="default" w:ascii="Times New Roman" w:hAnsi="Times New Roman" w:eastAsia="宋体" w:cs="Times New Roman"/>
                <w:color w:val="auto"/>
                <w:sz w:val="21"/>
                <w:szCs w:val="21"/>
              </w:rPr>
              <w:t>储罐</w:t>
            </w:r>
            <w:r>
              <w:rPr>
                <w:rFonts w:hint="default" w:ascii="Times New Roman" w:hAnsi="Times New Roman" w:cs="Times New Roman"/>
                <w:color w:val="auto"/>
                <w:sz w:val="21"/>
                <w:szCs w:val="21"/>
                <w:lang w:val="en-US" w:eastAsia="zh-CN"/>
              </w:rPr>
              <w:t>设置了</w:t>
            </w:r>
            <w:r>
              <w:rPr>
                <w:rFonts w:hint="default" w:ascii="Times New Roman" w:hAnsi="Times New Roman" w:eastAsia="宋体" w:cs="Times New Roman"/>
                <w:color w:val="auto"/>
                <w:sz w:val="21"/>
                <w:szCs w:val="21"/>
              </w:rPr>
              <w:t>高高液位报警及联锁关闭储罐进口管道控制阀</w:t>
            </w:r>
            <w:r>
              <w:rPr>
                <w:rFonts w:hint="default" w:ascii="Times New Roman" w:hAnsi="Times New Roman" w:eastAsia="宋体" w:cs="Times New Roman"/>
                <w:color w:val="auto"/>
                <w:sz w:val="21"/>
                <w:szCs w:val="21"/>
                <w:lang w:eastAsia="zh-CN"/>
              </w:rPr>
              <w:t>。</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构成一级或者二级重大危险源危险化学品罐区的液体储罐（重大危险源辨识范围内的）均应设置高、低液位报警和高高、低低液位联锁紧急切断进、出口管道控制阀。</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危险化学品罐区</w:t>
            </w:r>
            <w:r>
              <w:rPr>
                <w:rFonts w:hint="default" w:ascii="Times New Roman" w:hAnsi="Times New Roman" w:cs="Times New Roman"/>
                <w:color w:val="auto"/>
                <w:sz w:val="21"/>
                <w:szCs w:val="21"/>
                <w:lang w:val="en-US" w:eastAsia="zh-CN"/>
              </w:rPr>
              <w:t>不构成重大危险源</w:t>
            </w:r>
            <w:r>
              <w:rPr>
                <w:rFonts w:hint="default" w:ascii="Times New Roman" w:hAnsi="Times New Roman" w:eastAsia="宋体" w:cs="Times New Roman"/>
                <w:color w:val="auto"/>
                <w:sz w:val="21"/>
                <w:szCs w:val="21"/>
                <w:lang w:eastAsia="zh-CN"/>
              </w:rPr>
              <w:t>。</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可燃液体或有毒液体的装置储罐应设置高液位报警并设高高液位联锁切断进料。装置高位槽应设置高液位报警并高高液位联锁切断进料或设溢流管道，宜设低低液位联锁停抽出泵或切断出料设施。</w:t>
            </w:r>
          </w:p>
        </w:tc>
        <w:tc>
          <w:tcPr>
            <w:tcW w:w="2079" w:type="pct"/>
            <w:noWrap w:val="0"/>
            <w:vAlign w:val="center"/>
          </w:tcPr>
          <w:p>
            <w:pPr>
              <w:spacing w:line="240" w:lineRule="auto"/>
              <w:jc w:val="left"/>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spacing w:val="-1"/>
                <w:sz w:val="21"/>
                <w:szCs w:val="21"/>
              </w:rPr>
              <w:t>装置高位槽未</w:t>
            </w:r>
            <w:r>
              <w:rPr>
                <w:rFonts w:hint="default" w:ascii="Times New Roman" w:hAnsi="Times New Roman" w:eastAsia="宋体" w:cs="Times New Roman"/>
                <w:sz w:val="21"/>
                <w:szCs w:val="21"/>
              </w:rPr>
              <w:t>设置高高液位联</w:t>
            </w:r>
            <w:r>
              <w:rPr>
                <w:rFonts w:hint="default" w:ascii="Times New Roman" w:hAnsi="Times New Roman" w:eastAsia="宋体" w:cs="Times New Roman"/>
                <w:spacing w:val="-1"/>
                <w:sz w:val="21"/>
                <w:szCs w:val="21"/>
              </w:rPr>
              <w:t>锁切断进料或</w:t>
            </w:r>
            <w:r>
              <w:rPr>
                <w:rFonts w:hint="default" w:ascii="Times New Roman" w:hAnsi="Times New Roman" w:eastAsia="宋体" w:cs="Times New Roman"/>
                <w:sz w:val="21"/>
                <w:szCs w:val="21"/>
              </w:rPr>
              <w:t>设溢流管道</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不</w:t>
            </w: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柜应设上、下限位报警装置，并宜设进出管道自动联锁切断装置。气柜安全设施应满足《工业企业干式煤气柜安全技术规范》（GB51066）、《工业企业干式煤气柜安全技术规范》（GB/T51094）、《气柜维护检修规程》（SHS01036）等国家标准要求。</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不涉及气柜</w:t>
            </w:r>
            <w:r>
              <w:rPr>
                <w:rFonts w:hint="default" w:ascii="Times New Roman" w:hAnsi="Times New Roman" w:eastAsia="宋体" w:cs="Times New Roman"/>
                <w:color w:val="auto"/>
                <w:sz w:val="21"/>
                <w:szCs w:val="21"/>
                <w:lang w:eastAsia="zh-CN"/>
              </w:rPr>
              <w:t>。</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毒性气体、液化气体、剧毒液体的一级、二级重大危险源的危险化学品罐区应设独立的安全仪表系统。每个回路的检测元件和执行元件均应独立设置，安全仪表元器件等级（SIL）宜不低于2级。压力储罐应设压力就地测量仪表和压力远传仪表，并使用不同的取源点。</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储罐区不</w:t>
            </w:r>
            <w:r>
              <w:rPr>
                <w:rFonts w:hint="default" w:ascii="Times New Roman" w:hAnsi="Times New Roman" w:cs="Times New Roman"/>
                <w:color w:val="auto"/>
                <w:sz w:val="21"/>
                <w:szCs w:val="21"/>
                <w:lang w:val="en-US" w:eastAsia="zh-CN"/>
              </w:rPr>
              <w:t>构成</w:t>
            </w:r>
            <w:r>
              <w:rPr>
                <w:rFonts w:hint="default" w:ascii="Times New Roman" w:hAnsi="Times New Roman" w:eastAsia="宋体" w:cs="Times New Roman"/>
                <w:color w:val="auto"/>
                <w:sz w:val="21"/>
                <w:szCs w:val="21"/>
                <w:lang w:eastAsia="zh-CN"/>
              </w:rPr>
              <w:t>危险化学品重大危险源。</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带有高液位联锁功能的可燃液体和剧毒液体储罐应配备两种不同原理的液位计或液位开关，高液位联锁测量仪表和基本控制回路液位计应分开设置。压力储罐液位测量应设一套远传仪表和就地指示仪表，并应另设一套专用于高高液位或低低液位报警并联锁切断储罐进料（出料）阀门的液位测量仪表或液位开关。</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不涉及</w:t>
            </w:r>
            <w:r>
              <w:rPr>
                <w:rFonts w:hint="default" w:ascii="Times New Roman" w:hAnsi="Times New Roman" w:eastAsia="宋体" w:cs="Times New Roman"/>
                <w:color w:val="auto"/>
                <w:sz w:val="21"/>
                <w:szCs w:val="21"/>
                <w:lang w:eastAsia="zh-CN"/>
              </w:rPr>
              <w:t>。</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液位、压力、温度等测量仪表的选型、安装等应符合《石油化工自动化仪表选型设计规范》（SH/T3005）、《石油化工储运系统罐区设计规范》（SH/T3007）等规定。</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现有安装仪表选型符合要求。</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当有可靠的仪表空气系统时，开关阀（紧急切断阀）应首选气动执行机构，采用故障-安全型（FC或FO）。当工艺特别要求开关阀为仪表空气故障保持型（FL），应选用双作用气缸执行机构，并配有仪表空气罐，阀门保位时间不应低于48小时。在没有仪表气源的场合，但有负荷分级为一级负荷的电力电源系统时，可选用电动阀。当工艺、转动设备有特殊要求时，也可选用电液开关阀。开关阀防火要求应满足《石油化工企业设计防火标准》（GB50160）、《石油化工自动化仪表选型设计规范》（SH/T3005）等规定。</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pacing w:val="-1"/>
                <w:sz w:val="21"/>
                <w:szCs w:val="21"/>
              </w:rPr>
              <w:t>氢氟酸进料切</w:t>
            </w:r>
            <w:r>
              <w:rPr>
                <w:rFonts w:hint="default" w:ascii="Times New Roman" w:hAnsi="Times New Roman" w:eastAsia="宋体" w:cs="Times New Roman"/>
                <w:sz w:val="21"/>
                <w:szCs w:val="21"/>
              </w:rPr>
              <w:t>断阀选用电动阀</w:t>
            </w:r>
            <w:r>
              <w:rPr>
                <w:rFonts w:hint="default" w:ascii="Times New Roman" w:hAnsi="Times New Roman" w:eastAsia="宋体" w:cs="Times New Roman"/>
                <w:color w:val="auto"/>
                <w:sz w:val="21"/>
                <w:szCs w:val="21"/>
                <w:lang w:val="en-US" w:eastAsia="zh-CN"/>
              </w:rPr>
              <w:t>。</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不</w:t>
            </w: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储罐设置高高液位联锁切断进料、低低液位联锁停泵时，可能影响上、下游生产装置正常生产的，应整体考虑装置联锁方案，有效控制生产装置安全风险。</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储罐设置</w:t>
            </w:r>
            <w:r>
              <w:rPr>
                <w:rFonts w:hint="default" w:ascii="Times New Roman" w:hAnsi="Times New Roman" w:cs="Times New Roman"/>
                <w:color w:val="auto"/>
                <w:sz w:val="21"/>
                <w:szCs w:val="21"/>
                <w:lang w:val="en-US" w:eastAsia="zh-CN"/>
              </w:rPr>
              <w:t>的联锁阀门能</w:t>
            </w:r>
            <w:r>
              <w:rPr>
                <w:rFonts w:hint="default" w:ascii="Times New Roman" w:hAnsi="Times New Roman" w:eastAsia="宋体" w:cs="Times New Roman"/>
                <w:color w:val="auto"/>
                <w:sz w:val="21"/>
                <w:szCs w:val="21"/>
              </w:rPr>
              <w:t>有效控制生产装置安全风险</w:t>
            </w:r>
            <w:r>
              <w:rPr>
                <w:rFonts w:hint="default" w:ascii="Times New Roman" w:hAnsi="Times New Roman" w:eastAsia="宋体" w:cs="Times New Roman"/>
                <w:color w:val="auto"/>
                <w:sz w:val="21"/>
                <w:szCs w:val="21"/>
                <w:lang w:eastAsia="zh-CN"/>
              </w:rPr>
              <w:t>。</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除工艺特殊要求外，普通无机酸、碱储罐可不设联锁切断进料或停泵设施，应设置高低液位报警。</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氟硅酸储罐、氟硼酸、(10~20%)有水氢氟酸中间罐、碱液罐未设置高低液位报警</w:t>
            </w:r>
            <w:r>
              <w:rPr>
                <w:rFonts w:hint="default" w:ascii="Times New Roman" w:hAnsi="Times New Roman" w:cs="Times New Roman"/>
                <w:color w:val="auto"/>
                <w:sz w:val="21"/>
                <w:szCs w:val="21"/>
                <w:lang w:val="en-US" w:eastAsia="zh-CN"/>
              </w:rPr>
              <w:t>。</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不</w:t>
            </w: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构成一级、二级危险化学品重大危险源应装备紧急停车系统，对重大危险源中的毒性气体、剧毒液体和易燃气体等重点设施，应设置紧急切断装置。紧急停车（紧急切断）系统的安全功能既可通过基本过程控制(DCS或SCADA)系统实现，也可通过安全仪表系统（SIS）实现。</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不涉及危险化学品重大危险源。</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设置加热或冷却盘管的储罐应当设置液相温度检测和报警设施。</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不涉及</w:t>
            </w:r>
            <w:r>
              <w:rPr>
                <w:rFonts w:hint="default" w:ascii="Times New Roman" w:hAnsi="Times New Roman" w:eastAsia="宋体" w:cs="Times New Roman"/>
                <w:color w:val="auto"/>
                <w:sz w:val="21"/>
                <w:szCs w:val="21"/>
                <w:lang w:eastAsia="zh-CN"/>
              </w:rPr>
              <w:t>。</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储罐的压力、温度、液位等重点监控参数应传送至控制室集中显示。设有远程进料或者出料切断阀的储罐应当具备远程紧急关闭功能。</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储罐的重点监控参数已传送至控制室集中显示</w:t>
            </w:r>
            <w:r>
              <w:rPr>
                <w:rFonts w:hint="default" w:ascii="Times New Roman" w:hAnsi="Times New Roman" w:eastAsia="宋体" w:cs="Times New Roman"/>
                <w:color w:val="auto"/>
                <w:sz w:val="21"/>
                <w:szCs w:val="21"/>
                <w:lang w:eastAsia="zh-CN"/>
              </w:rPr>
              <w:t>。</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液化烃和可燃液体（有缓冲罐的可燃液体除外）汽车装卸鹤位10ｍ以外的装卸管道上应设便于操作的紧急切断阀。液氯、液氨、液化石油气、液化天然气、液化烃等易燃易爆、有毒有害液化气体的充装，应当使用金属万向管道充装系统，并在装卸鹤管口处设置拉断阀。</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不涉及储罐</w:t>
            </w:r>
            <w:r>
              <w:rPr>
                <w:rFonts w:hint="default" w:ascii="Times New Roman" w:hAnsi="Times New Roman" w:eastAsia="宋体" w:cs="Times New Roman"/>
                <w:color w:val="auto"/>
                <w:sz w:val="21"/>
                <w:szCs w:val="21"/>
                <w:lang w:val="en-US" w:eastAsia="zh-CN"/>
              </w:rPr>
              <w:t>和</w:t>
            </w:r>
            <w:r>
              <w:rPr>
                <w:rFonts w:hint="default" w:ascii="Times New Roman" w:hAnsi="Times New Roman" w:eastAsia="宋体" w:cs="Times New Roman"/>
                <w:color w:val="auto"/>
                <w:sz w:val="21"/>
                <w:szCs w:val="21"/>
              </w:rPr>
              <w:t>液氯、液氨、液化石油气、液化天然气、液化烃等易燃易爆、有毒有害液化气体的充装</w:t>
            </w:r>
            <w:r>
              <w:rPr>
                <w:rFonts w:hint="default" w:ascii="Times New Roman" w:hAnsi="Times New Roman" w:eastAsia="宋体" w:cs="Times New Roman"/>
                <w:color w:val="auto"/>
                <w:sz w:val="21"/>
                <w:szCs w:val="21"/>
                <w:lang w:eastAsia="zh-CN"/>
              </w:rPr>
              <w:t>设施。</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二</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重点监管的危险化工工艺自动控制</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对于常压放热反应工艺，反应釜应设进料流量自动控制阀，通过改变进料流量调节反应温度。反应釜应设反应温度高高报警并联锁切断进料、联锁打开紧急冷却系统。如有热媒加热，应同时切断热媒。</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不涉及危险化工工艺。</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对于带压放热反应工艺，反应釜应设进料自动控制阀，通过改变进料流量调节反应压力和温度。反应釜应设反应压力高高报警并联锁切断进料、联锁打开紧急冷却系统、紧急泄放设施，或（和）反应釜设反应温度高高报警并联锁切断进料，并联锁打开紧急冷却系统。如有热媒加热，应同时切断热媒。</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不涉及危险化工工艺</w:t>
            </w:r>
            <w:r>
              <w:rPr>
                <w:rFonts w:hint="default" w:ascii="Times New Roman" w:hAnsi="Times New Roman" w:eastAsia="宋体" w:cs="Times New Roman"/>
                <w:color w:val="auto"/>
                <w:sz w:val="21"/>
                <w:szCs w:val="21"/>
                <w:lang w:val="en-US" w:eastAsia="zh-CN"/>
              </w:rPr>
              <w:t>。</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对于使用热媒加热的常压反应工艺，反应釜应设进料和热媒自动控制阀，通过改变进料流量或热媒流量调节反应温度。反应釜应设反应温度高高报警并联锁切断进料或联锁切断热媒，并联锁打开紧急冷却（含冷媒）系统。</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不涉及危险化工工艺。</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对于使用热媒加热的带压反应工艺，反应釜应设进料或热媒流量自动控制阀，通过改变进料流量或热媒流量调节反应温度和压力。反应釜应设反应温度高高报警并联锁切断进料、联锁切断热媒，并联锁打开紧急冷却系统，或（和）反应釜设反应压力高高报警并联锁切断进料、联锁切断热媒，并联锁打开紧急冷却系统。</w:t>
            </w:r>
          </w:p>
        </w:tc>
        <w:tc>
          <w:tcPr>
            <w:tcW w:w="207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不涉及危险化工工艺</w:t>
            </w:r>
            <w:r>
              <w:rPr>
                <w:rFonts w:hint="default" w:ascii="Times New Roman" w:hAnsi="Times New Roman" w:eastAsia="宋体" w:cs="Times New Roman"/>
                <w:color w:val="auto"/>
                <w:sz w:val="21"/>
                <w:szCs w:val="21"/>
              </w:rPr>
              <w:t>。</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分批加料的反应釜应设温度远传、报警、反应温度高高报警并联锁切断热媒，并联锁打开紧急冷却系统。</w:t>
            </w:r>
          </w:p>
        </w:tc>
        <w:tc>
          <w:tcPr>
            <w:tcW w:w="207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不涉及分批加料的危险化工工艺。</w:t>
            </w:r>
          </w:p>
        </w:tc>
        <w:tc>
          <w:tcPr>
            <w:tcW w:w="386" w:type="pct"/>
            <w:noWrap w:val="0"/>
            <w:vAlign w:val="center"/>
          </w:tcPr>
          <w:p>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属于同一种反应工艺，多个反应釜串联使用的，各釜应设反应温度、压力远传、报警。各反应釜应设温度、压力高高报警，任一反应釜温度或压力高高报警时应联锁切断总进料并联锁开启该反应釜紧急冷却系统。设计方案或《HAZOP分析报告》提出需设置联锁切断各釜进料的，应满足其要求。</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不涉及同一种反应工艺，多个反应釜串联使用</w:t>
            </w:r>
            <w:r>
              <w:rPr>
                <w:rFonts w:hint="default" w:ascii="Times New Roman" w:hAnsi="Times New Roman" w:eastAsia="宋体" w:cs="Times New Roman"/>
                <w:color w:val="auto"/>
                <w:sz w:val="21"/>
                <w:szCs w:val="21"/>
                <w:lang w:eastAsia="zh-CN"/>
              </w:rPr>
              <w:t>。</w:t>
            </w:r>
          </w:p>
        </w:tc>
        <w:tc>
          <w:tcPr>
            <w:tcW w:w="386" w:type="pct"/>
            <w:noWrap w:val="0"/>
            <w:vAlign w:val="center"/>
          </w:tcPr>
          <w:p>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反应过程中需要通过调节冷却系统控制或者辅助控制反应温度的，应当设置自动控制回路，实现反应温度升高时自动提高冷却剂流量；调节精细度要求较高的冷却剂应当设流量控制回路。</w:t>
            </w:r>
          </w:p>
        </w:tc>
        <w:tc>
          <w:tcPr>
            <w:tcW w:w="2079" w:type="pct"/>
            <w:noWrap w:val="0"/>
            <w:vAlign w:val="center"/>
          </w:tcPr>
          <w:p>
            <w:pPr>
              <w:spacing w:line="240" w:lineRule="auto"/>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不涉及危险化工工艺</w:t>
            </w:r>
            <w:r>
              <w:rPr>
                <w:rFonts w:hint="default" w:ascii="Times New Roman" w:hAnsi="Times New Roman" w:eastAsia="宋体" w:cs="Times New Roman"/>
                <w:color w:val="auto"/>
                <w:sz w:val="21"/>
                <w:szCs w:val="21"/>
              </w:rPr>
              <w:t>。</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重点监管危险化工工艺安全控制基本要求的涉及反应物料配比、液位、进出物料流量等报警及联锁的安全控制方式应同时满足其要求，并根据设计方案或《HAZOP分析报告》设置相应联锁系统。</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不涉及危险化工工艺。</w:t>
            </w:r>
          </w:p>
        </w:tc>
        <w:tc>
          <w:tcPr>
            <w:tcW w:w="386" w:type="pct"/>
            <w:noWrap w:val="0"/>
            <w:vAlign w:val="center"/>
          </w:tcPr>
          <w:p>
            <w:pPr>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三</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其它反应工序（含危险工艺）自动控制</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一个反应釜不应同时涉及两个或以上不同的危险化工工艺，SIS系统设计严禁在生产过程中人工干预。</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不涉及危险化工工艺。</w:t>
            </w:r>
          </w:p>
        </w:tc>
        <w:tc>
          <w:tcPr>
            <w:tcW w:w="386"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反应过程涉及热媒、冷媒（含预热、预冷、反应物的冷却）切换操作的，应设置自动控制阀，具备自动切换功能。</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不涉及</w:t>
            </w:r>
            <w:r>
              <w:rPr>
                <w:rFonts w:hint="default" w:ascii="Times New Roman" w:hAnsi="Times New Roman" w:cs="Times New Roman"/>
                <w:color w:val="auto"/>
                <w:sz w:val="21"/>
                <w:szCs w:val="21"/>
              </w:rPr>
              <w:t>。</w:t>
            </w:r>
          </w:p>
        </w:tc>
        <w:tc>
          <w:tcPr>
            <w:tcW w:w="386"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2209" w:type="pct"/>
            <w:noWrap w:val="0"/>
            <w:vAlign w:val="center"/>
          </w:tcPr>
          <w:p>
            <w:pPr>
              <w:spacing w:line="240" w:lineRule="auto"/>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设有搅拌系统且具有超压或爆炸危险的反应釜，应设搅拌电流远传指示，搅拌系统故障停机时应联锁切断进料和热媒并采取必要的冷却措施。</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不涉及</w:t>
            </w:r>
            <w:r>
              <w:rPr>
                <w:rFonts w:hint="default" w:ascii="Times New Roman" w:hAnsi="Times New Roman" w:cs="Times New Roman"/>
                <w:color w:val="auto"/>
                <w:sz w:val="21"/>
                <w:szCs w:val="21"/>
                <w:lang w:val="en-US" w:eastAsia="zh-CN"/>
              </w:rPr>
              <w:t>。</w:t>
            </w:r>
          </w:p>
        </w:tc>
        <w:tc>
          <w:tcPr>
            <w:tcW w:w="386"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2209" w:type="pct"/>
            <w:noWrap w:val="0"/>
            <w:vAlign w:val="center"/>
          </w:tcPr>
          <w:p>
            <w:pPr>
              <w:spacing w:line="240" w:lineRule="auto"/>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设有外循环冷却或加热系统的反应釜，宜设置备用循环泵，并具备自动切换功能。应设置循环泵电流远传指示，外循环系统故障时应联锁切断进料和热媒。</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不涉及</w:t>
            </w:r>
            <w:r>
              <w:rPr>
                <w:rFonts w:hint="default" w:ascii="Times New Roman" w:hAnsi="Times New Roman" w:cs="Times New Roman"/>
                <w:color w:val="auto"/>
                <w:sz w:val="21"/>
                <w:szCs w:val="21"/>
                <w:lang w:eastAsia="zh-CN"/>
              </w:rPr>
              <w:t>。</w:t>
            </w:r>
          </w:p>
        </w:tc>
        <w:tc>
          <w:tcPr>
            <w:tcW w:w="386"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涉及剧毒气体的生产储存设施，应设事故状态下与安全处理系统形成联锁关系的自控联锁装置。</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不涉及</w:t>
            </w:r>
            <w:r>
              <w:rPr>
                <w:rFonts w:hint="default" w:ascii="Times New Roman" w:hAnsi="Times New Roman" w:eastAsia="宋体" w:cs="Times New Roman"/>
                <w:color w:val="auto"/>
                <w:sz w:val="21"/>
                <w:szCs w:val="21"/>
                <w:lang w:eastAsia="zh-CN"/>
              </w:rPr>
              <w:t>剧毒气体生产储存设施。</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在控制室应设紧急停车按钮和应在反应釜现场设就地紧急停车按钮。控制系统紧急停车按钮和重要的复位、报警等功能按钮应在辅</w:t>
            </w:r>
            <w:r>
              <w:rPr>
                <w:rFonts w:hint="default" w:ascii="Times New Roman" w:hAnsi="Times New Roman" w:eastAsia="宋体" w:cs="Times New Roman"/>
                <w:color w:val="auto"/>
                <w:spacing w:val="-6"/>
                <w:sz w:val="21"/>
                <w:szCs w:val="21"/>
              </w:rPr>
              <w:t>操台上设置硬按钮，就地紧急停车按钮宜分区域集中设置在操作人员易于接近的地</w:t>
            </w:r>
            <w:r>
              <w:rPr>
                <w:rFonts w:hint="default" w:ascii="Times New Roman" w:hAnsi="Times New Roman" w:eastAsia="宋体" w:cs="Times New Roman"/>
                <w:color w:val="auto"/>
                <w:sz w:val="21"/>
                <w:szCs w:val="21"/>
              </w:rPr>
              <w:t>点。</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不涉及重点监管危险化工工艺，不构成重大危险源。</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液态催化剂可采用计量泵自动滴加至反应釜，紧急停车时和反应温度、压力联锁动作时应当联锁自动停止滴加泵。带压反应工况的反应釜应在催化剂自动滴加管道上靠近反应釜位置设置联锁切断阀。</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现有装置不涉及液态催化剂。</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固态催化剂应采用自动添加方式。自动添加方式确有难度的，应当设置密闭添加设施，不应采用开放式人工添加催化剂。密闭添加设备的容量不应大于一次添加需求量。</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不涉及固态催化剂。</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按照《国家安全监管总局关于加强精细化工反应安全风险评估工作的指导意见》（安监总管三〔2017〕1号）等文件要求完成反应安全风险评估的精细化工企业，应按照《反应风险评估报告》确定的反应工艺危险度等级和评估建议，设置相应的安全设施和安全仪表系统。</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不涉及</w:t>
            </w:r>
            <w:r>
              <w:rPr>
                <w:rFonts w:hint="default" w:ascii="Times New Roman" w:hAnsi="Times New Roman" w:cs="Times New Roman"/>
                <w:color w:val="auto"/>
                <w:sz w:val="21"/>
                <w:szCs w:val="21"/>
                <w:lang w:eastAsia="zh-CN"/>
              </w:rPr>
              <w:t>。</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bidi="zh-TW"/>
              </w:rPr>
              <w:t>DCS</w:t>
            </w:r>
            <w:r>
              <w:rPr>
                <w:rFonts w:hint="default" w:ascii="Times New Roman" w:hAnsi="Times New Roman" w:eastAsia="宋体" w:cs="Times New Roman"/>
                <w:color w:val="auto"/>
                <w:sz w:val="21"/>
                <w:szCs w:val="21"/>
                <w:lang w:val="zh-TW" w:eastAsia="zh-TW" w:bidi="zh-TW"/>
              </w:rPr>
              <w:t>系统与</w:t>
            </w:r>
            <w:r>
              <w:rPr>
                <w:rFonts w:hint="default" w:ascii="Times New Roman" w:hAnsi="Times New Roman" w:eastAsia="宋体" w:cs="Times New Roman"/>
                <w:color w:val="auto"/>
                <w:sz w:val="21"/>
                <w:szCs w:val="21"/>
                <w:lang w:bidi="zh-TW"/>
              </w:rPr>
              <w:t>SIS</w:t>
            </w:r>
            <w:r>
              <w:rPr>
                <w:rFonts w:hint="default" w:ascii="Times New Roman" w:hAnsi="Times New Roman" w:eastAsia="宋体" w:cs="Times New Roman"/>
                <w:color w:val="auto"/>
                <w:sz w:val="21"/>
                <w:szCs w:val="21"/>
                <w:lang w:val="zh-TW" w:eastAsia="zh-TW" w:bidi="zh-TW"/>
              </w:rPr>
              <w:t>系统等仪表电源负荷应为一级负荷中特别重要的负荷，应采用</w:t>
            </w:r>
            <w:r>
              <w:rPr>
                <w:rFonts w:hint="default" w:ascii="Times New Roman" w:hAnsi="Times New Roman" w:eastAsia="宋体" w:cs="Times New Roman"/>
                <w:color w:val="auto"/>
                <w:sz w:val="21"/>
                <w:szCs w:val="21"/>
                <w:lang w:bidi="zh-TW"/>
              </w:rPr>
              <w:t>UPS。</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配备了UPS应急电源。</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11</w:t>
            </w:r>
          </w:p>
        </w:tc>
        <w:tc>
          <w:tcPr>
            <w:tcW w:w="2209" w:type="pct"/>
            <w:noWrap w:val="0"/>
            <w:vAlign w:val="center"/>
          </w:tcPr>
          <w:p>
            <w:pPr>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zh-TW" w:eastAsia="zh-TW" w:bidi="zh-TW"/>
              </w:rPr>
              <w:t>重点监管危险化工工艺和危险化学品重大危险源生产设备用电必须是二级负荷及以上，备用电源应配备自投运行装置。</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不涉及重点监管危险化工工艺和危险化学品重大危险源，该公司涉及的二级负荷</w:t>
            </w:r>
            <w:r>
              <w:rPr>
                <w:rFonts w:hint="default" w:ascii="Times New Roman" w:hAnsi="Times New Roman" w:eastAsia="宋体" w:cs="Times New Roman"/>
                <w:color w:val="auto"/>
                <w:sz w:val="21"/>
                <w:szCs w:val="21"/>
                <w:lang w:val="en-US" w:eastAsia="zh-CN"/>
              </w:rPr>
              <w:t>设有一台</w:t>
            </w:r>
            <w:r>
              <w:rPr>
                <w:rFonts w:hint="default" w:ascii="Times New Roman" w:hAnsi="Times New Roman" w:cs="Times New Roman"/>
                <w:color w:val="auto"/>
                <w:sz w:val="21"/>
                <w:szCs w:val="21"/>
                <w:lang w:val="en-US" w:eastAsia="zh-CN"/>
              </w:rPr>
              <w:t>75</w:t>
            </w:r>
            <w:r>
              <w:rPr>
                <w:rFonts w:hint="default" w:ascii="Times New Roman" w:hAnsi="Times New Roman" w:eastAsia="宋体" w:cs="Times New Roman"/>
                <w:color w:val="auto"/>
                <w:sz w:val="21"/>
                <w:szCs w:val="21"/>
                <w:lang w:val="en-US" w:eastAsia="zh-CN"/>
              </w:rPr>
              <w:t>kW柴油发电机组</w:t>
            </w:r>
            <w:r>
              <w:rPr>
                <w:rFonts w:hint="default" w:ascii="Times New Roman" w:hAnsi="Times New Roman" w:cs="Times New Roman"/>
                <w:color w:val="auto"/>
                <w:sz w:val="21"/>
                <w:szCs w:val="21"/>
                <w:lang w:val="en-US" w:eastAsia="zh-CN"/>
              </w:rPr>
              <w:t>供应</w:t>
            </w:r>
            <w:r>
              <w:rPr>
                <w:rFonts w:hint="default" w:ascii="Times New Roman" w:hAnsi="Times New Roman" w:eastAsia="宋体" w:cs="Times New Roman"/>
                <w:color w:val="auto"/>
                <w:sz w:val="21"/>
                <w:szCs w:val="21"/>
                <w:lang w:val="en-US" w:eastAsia="zh-CN"/>
              </w:rPr>
              <w:t>。</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lang w:val="en-US" w:eastAsia="zh-CN"/>
              </w:rPr>
              <w:t>四</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精馏精制自动控制</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209" w:type="pct"/>
            <w:noWrap w:val="0"/>
            <w:vAlign w:val="center"/>
          </w:tcPr>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精馏（蒸馏）塔应设进料流量自动控制阀，调节塔的进料流量。连续进料或出料的精馏（蒸馏）塔应设置液位自动控制回路，通过调节塔釜进料或釜液抽出量调节液位。</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现有装置不涉及精馏（蒸馏塔）。</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209" w:type="pct"/>
            <w:noWrap w:val="0"/>
            <w:vAlign w:val="center"/>
          </w:tcPr>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精馏（蒸馏）塔应设塔釜和回流罐液位就地和远传指示、并设高低液位报警；应设置塔釜温度远传指示、超限报警，塔釜温度高高联锁切断热媒；连续进料的精馏（蒸馏）塔应设塔釜温度自动控制回路，通过热媒调节塔釜温度。塔顶冷凝（却）器应设冷媒流量控制阀，用物料出口温度控制冷却水（冷媒）控制阀的开度，宜设冷却水（冷媒）中断报警。塔顶操作压力大于0.03MPa的蒸馏塔、汽提塔、蒸发塔等应设置压力就地和远传指示及超压排放设施。塔顶操作压力大于0.1MPa的蒸馏塔、汽提塔、蒸发塔等应同时设置塔顶压力高高联锁关闭塔釜热媒。塔顶操作压力为负压的应当设置压力高报警。</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现有装置不涉及精馏（蒸馏塔）。</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209" w:type="pct"/>
            <w:noWrap w:val="0"/>
            <w:vAlign w:val="center"/>
          </w:tcPr>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再沸器的加热热媒管道上应设置温度控制阀或热媒流量控制阀，通过改变热媒流量或热媒温度调节釜温。</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现有装置不涉及精馏（蒸馏）再沸器</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209" w:type="pct"/>
            <w:noWrap w:val="0"/>
            <w:vAlign w:val="center"/>
          </w:tcPr>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塔顶馏出液为液体的回流罐，应设就地和自控液位计，用回流罐液位控制或超驰回流量或冷媒量；回流罐设高低液位报警。塔顶设置回流泵的应在回流管道上设置远传式流量计和温度计，并设置低流量和温度高报警。使用外置回流控制塔顶温度的应当设置温度自动控制回路，通过调节回流量或冷媒自动控制阀控制塔顶温度。</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现有装置不涉及精馏（蒸馏塔）</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反应产物因酸解、碱解（仅调节PH值的除外）、萃取、脱色、蒸发、结晶等涉及加热工艺过程的，当热媒温度高于设备内介质沸点的，应设置温度自动检测、远传、报警，温度高高报警与热媒联锁切断。</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lang w:val="en-US" w:eastAsia="zh-CN"/>
              </w:rPr>
              <w:t>不涉及</w:t>
            </w:r>
            <w:r>
              <w:rPr>
                <w:rFonts w:hint="default" w:ascii="Times New Roman" w:hAnsi="Times New Roman" w:cs="Times New Roman"/>
                <w:bCs/>
                <w:color w:val="auto"/>
                <w:sz w:val="21"/>
                <w:szCs w:val="21"/>
              </w:rPr>
              <w:t>。</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lang w:val="en-US" w:eastAsia="zh-CN"/>
              </w:rPr>
              <w:t>五</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产品包装自动控制</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涉及可燃性固体、液体、气体或有毒气体包装，或爆炸性粉尘的包装作业场所，原则上应采用自动化包装等措施，最大限度地减少当班操作人员。</w:t>
            </w:r>
          </w:p>
        </w:tc>
        <w:tc>
          <w:tcPr>
            <w:tcW w:w="207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不涉及</w:t>
            </w:r>
            <w:r>
              <w:rPr>
                <w:rFonts w:hint="default" w:ascii="Times New Roman" w:hAnsi="Times New Roman" w:cs="Times New Roman"/>
                <w:color w:val="auto"/>
                <w:sz w:val="21"/>
                <w:szCs w:val="21"/>
                <w:lang w:eastAsia="zh-CN"/>
              </w:rPr>
              <w:t>。</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液氯等液化气体气瓶充装应设电子衡称重计量和超装报警系统，超装信号与自动充装紧急切断阀联锁，并设置手动阀。</w:t>
            </w:r>
          </w:p>
        </w:tc>
        <w:tc>
          <w:tcPr>
            <w:tcW w:w="207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现有装置</w:t>
            </w:r>
            <w:r>
              <w:rPr>
                <w:rFonts w:hint="default" w:ascii="Times New Roman" w:hAnsi="Times New Roman" w:eastAsia="宋体" w:cs="Times New Roman"/>
                <w:color w:val="auto"/>
                <w:sz w:val="21"/>
                <w:szCs w:val="21"/>
              </w:rPr>
              <w:t>不涉及</w:t>
            </w:r>
            <w:r>
              <w:rPr>
                <w:rFonts w:hint="default" w:ascii="Times New Roman" w:hAnsi="Times New Roman" w:eastAsia="宋体" w:cs="Times New Roman"/>
                <w:color w:val="auto"/>
                <w:sz w:val="21"/>
                <w:szCs w:val="21"/>
                <w:lang w:eastAsia="zh-CN"/>
              </w:rPr>
              <w:t>液氯等液化气体充装。</w:t>
            </w:r>
          </w:p>
        </w:tc>
        <w:tc>
          <w:tcPr>
            <w:tcW w:w="386"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液态物料灌装宜采用自动计量称重灌装系统，超装信号与气动球阀或灌装机枪口联锁，具备自动计量称重灌装功能。</w:t>
            </w:r>
          </w:p>
        </w:tc>
        <w:tc>
          <w:tcPr>
            <w:tcW w:w="207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采用自动计量称重灌装系统</w:t>
            </w:r>
            <w:r>
              <w:rPr>
                <w:rFonts w:hint="default" w:ascii="Times New Roman" w:hAnsi="Times New Roman" w:eastAsia="宋体" w:cs="Times New Roman"/>
                <w:color w:val="auto"/>
                <w:sz w:val="21"/>
                <w:szCs w:val="21"/>
                <w:lang w:eastAsia="zh-CN"/>
              </w:rPr>
              <w:t>。</w:t>
            </w:r>
          </w:p>
        </w:tc>
        <w:tc>
          <w:tcPr>
            <w:tcW w:w="386"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可燃有毒、强酸强碱液体槽车充装宜设置流量自动批量控制器，或具备高液位停止充装功能。</w:t>
            </w:r>
          </w:p>
        </w:tc>
        <w:tc>
          <w:tcPr>
            <w:tcW w:w="207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不涉及</w:t>
            </w:r>
            <w:r>
              <w:rPr>
                <w:rFonts w:hint="default" w:ascii="Times New Roman" w:hAnsi="Times New Roman" w:eastAsia="宋体" w:cs="Times New Roman"/>
                <w:color w:val="auto"/>
                <w:sz w:val="21"/>
                <w:szCs w:val="21"/>
                <w:lang w:eastAsia="zh-CN"/>
              </w:rPr>
              <w:t>。</w:t>
            </w:r>
          </w:p>
        </w:tc>
        <w:tc>
          <w:tcPr>
            <w:tcW w:w="386"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lang w:val="en-US" w:eastAsia="zh-CN"/>
              </w:rPr>
              <w:t>六</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可燃和有毒气体检测报警系统</w:t>
            </w:r>
          </w:p>
        </w:tc>
        <w:tc>
          <w:tcPr>
            <w:tcW w:w="2079"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386"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209" w:type="pct"/>
            <w:noWrap w:val="0"/>
            <w:vAlign w:val="center"/>
          </w:tcPr>
          <w:p>
            <w:pPr>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在生产或使用可燃气体及有毒气体的工艺装置和储运设施（包括甲类气体和液化烃、甲B、乙A类液体的储罐区、装卸设施、灌装站等）应按照</w:t>
            </w:r>
            <w:r>
              <w:rPr>
                <w:rFonts w:hint="default" w:ascii="Times New Roman" w:hAnsi="Times New Roman" w:eastAsia="宋体" w:cs="Times New Roman"/>
                <w:color w:val="auto"/>
                <w:sz w:val="21"/>
                <w:szCs w:val="21"/>
                <w:lang w:val="en-US" w:eastAsia="zh-CN"/>
              </w:rPr>
              <w:t>《石油化工可燃和有毒气体检测报警设计标准》（GB50493）</w:t>
            </w:r>
            <w:r>
              <w:rPr>
                <w:rFonts w:hint="default" w:ascii="Times New Roman" w:hAnsi="Times New Roman" w:eastAsia="宋体" w:cs="Times New Roman"/>
                <w:color w:val="auto"/>
                <w:sz w:val="21"/>
                <w:szCs w:val="21"/>
              </w:rPr>
              <w:t>和《工作场所有毒气体检测报警装置设置规范》（GBZ/T223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的规定设置可燃和有毒气体检测报警仪。</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201原料罐区有毒气体检测报警器不能覆盖所有释放源</w:t>
            </w:r>
            <w:r>
              <w:rPr>
                <w:rFonts w:hint="default" w:ascii="Times New Roman" w:hAnsi="Times New Roman" w:cs="Times New Roman"/>
                <w:lang w:eastAsia="zh-CN"/>
              </w:rPr>
              <w:t>。</w:t>
            </w:r>
          </w:p>
        </w:tc>
        <w:tc>
          <w:tcPr>
            <w:tcW w:w="386" w:type="pct"/>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不</w:t>
            </w: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209" w:type="pct"/>
            <w:noWrap w:val="0"/>
            <w:vAlign w:val="center"/>
          </w:tcPr>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可燃和有毒气体检测报警信号应送至操作人员常驻的控制室或现场操作室。</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现有</w:t>
            </w:r>
            <w:r>
              <w:rPr>
                <w:rFonts w:hint="default" w:ascii="Times New Roman" w:hAnsi="Times New Roman" w:eastAsia="宋体" w:cs="Times New Roman"/>
                <w:color w:val="auto"/>
                <w:sz w:val="21"/>
                <w:szCs w:val="21"/>
              </w:rPr>
              <w:t>有毒气体检测报警信号</w:t>
            </w:r>
            <w:r>
              <w:rPr>
                <w:rFonts w:hint="default" w:ascii="Times New Roman" w:hAnsi="Times New Roman" w:eastAsia="宋体" w:cs="Times New Roman"/>
                <w:color w:val="auto"/>
                <w:sz w:val="21"/>
                <w:szCs w:val="21"/>
                <w:lang w:eastAsia="zh-CN"/>
              </w:rPr>
              <w:t>送至</w:t>
            </w:r>
            <w:r>
              <w:rPr>
                <w:rFonts w:hint="default" w:ascii="Times New Roman" w:hAnsi="Times New Roman" w:cs="Times New Roman"/>
                <w:color w:val="auto"/>
                <w:sz w:val="21"/>
                <w:szCs w:val="21"/>
                <w:lang w:val="en-US" w:eastAsia="zh-CN"/>
              </w:rPr>
              <w:t>操作人员常驻的控制室</w:t>
            </w:r>
            <w:r>
              <w:rPr>
                <w:rFonts w:hint="default" w:ascii="Times New Roman" w:hAnsi="Times New Roman" w:eastAsia="宋体" w:cs="Times New Roman"/>
                <w:color w:val="auto"/>
                <w:sz w:val="21"/>
                <w:szCs w:val="21"/>
                <w:lang w:val="en-US" w:eastAsia="zh-CN"/>
              </w:rPr>
              <w:t>。</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209" w:type="pct"/>
            <w:noWrap w:val="0"/>
            <w:vAlign w:val="center"/>
          </w:tcPr>
          <w:p>
            <w:pPr>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可燃和有毒气体检测报警系统应独立于基本过程控制系统，并设置独立的显示屏或报警终端和备用电源。</w:t>
            </w:r>
          </w:p>
        </w:tc>
        <w:tc>
          <w:tcPr>
            <w:tcW w:w="2079" w:type="pct"/>
            <w:noWrap w:val="0"/>
            <w:vAlign w:val="center"/>
          </w:tcPr>
          <w:p>
            <w:pPr>
              <w:spacing w:line="240" w:lineRule="auto"/>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有毒气体报警器信号上传至控制室PLC系统，未设置独立的气体报警系统。</w:t>
            </w:r>
          </w:p>
        </w:tc>
        <w:tc>
          <w:tcPr>
            <w:tcW w:w="386" w:type="pct"/>
            <w:noWrap w:val="0"/>
            <w:vAlign w:val="center"/>
          </w:tcPr>
          <w:p>
            <w:pPr>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不</w:t>
            </w: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毒性气体密闭空间的应急抽风系统应当能够在室内外或远程启动，应与密闭空间的毒气报警系统联锁启动。使用天然气的加热炉或其它明火设施附近的可燃气检测报警仪，高高报警应联锁切断燃气供应。每台用气设备应有观察孔或火焰监测装置，燃气加热炉燃烧器上应设置自动点火装置和熄火与燃气联锁保护装置。</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现有装置和设施不涉及毒性气体的密闭空间，不涉及天然气加热炉等</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lang w:val="en-US" w:eastAsia="zh-CN"/>
              </w:rPr>
              <w:t>七</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其它工艺过程自动控制</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用盘管式或套管式气化器的液氯全气化工艺，应设置气相压力和温度检测并远传至控制室，设置压力和温度高报警。气化压力和温度应与热媒调节阀形成自动控制回路，并设置压力高高和温度高高联锁，联锁应关闭液氯进料和热媒，宜设置超压自动泄压设施；同时设置泄压和安全处理设施，处理设施排放口宜设置氯气检测报警设施。</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不涉及液氯生产、储存和使用</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使用液氯、液氨等气瓶，应配置电子衡称重计量或余氯、余氨报警系统，余氯、余氨报警信号与紧急切断阀联锁。</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不涉及液氯生产、储存和使用</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涉及易燃、有毒等固体原料经熔融成液体相变工艺过程的，应设置温度、压力远传、超限报警，并设置联锁打开冷媒、紧急切断热媒的设施。</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不</w:t>
            </w:r>
            <w:r>
              <w:rPr>
                <w:rFonts w:hint="default" w:ascii="Times New Roman" w:hAnsi="Times New Roman" w:eastAsia="宋体" w:cs="Times New Roman"/>
                <w:color w:val="auto"/>
                <w:sz w:val="21"/>
                <w:szCs w:val="21"/>
              </w:rPr>
              <w:t>涉及固体原料经熔融成液体相变工艺过程</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固体原料连续投入反应釜（非一次性投入），并作为主反应原料，应设置加料斗、机械加料装置，进料量与反应温度或压力等联锁并设置切断设施。</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不涉及固体原料连续投入反应釜</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涉及固体原料连续输送工艺过程的，应采用机械或气力输送方式。可燃等固体采用机械输送方式宜设氮气保护，并设置故障停机联锁系统，涉及易燃、易爆物质的气力输送应采用氮气输送并设置气体压力自动调节装置。涉及可燃性粉尘的粉体原料输送，防静电设计应当符合《石油化工粉体料仓防静电设施的设计规范》（GB50813）等规定要求。</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不涉及固体原料连续</w:t>
            </w:r>
            <w:r>
              <w:rPr>
                <w:rFonts w:hint="default" w:ascii="Times New Roman" w:hAnsi="Times New Roman" w:eastAsia="宋体" w:cs="Times New Roman"/>
                <w:color w:val="auto"/>
                <w:sz w:val="21"/>
                <w:szCs w:val="21"/>
                <w:lang w:eastAsia="zh-CN"/>
              </w:rPr>
              <w:t>输送工艺</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存在突然超压或发生瞬时分解爆炸危险、因物料爆聚或分解造成超温、超压的原料储存设施（包括伴有加热、搅拌操作的设施），应设置温度、压力、搅拌电流等工艺参数的检测、远传、报警，并设置温度高高报警并联锁紧急切断热媒，并设置安全处理设施。</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不涉及</w:t>
            </w:r>
            <w:r>
              <w:rPr>
                <w:rFonts w:hint="default" w:ascii="Times New Roman" w:hAnsi="Times New Roman" w:eastAsia="宋体" w:cs="Times New Roman"/>
                <w:color w:val="auto"/>
                <w:sz w:val="21"/>
                <w:szCs w:val="21"/>
              </w:rPr>
              <w:t>突然超压或发生瞬时分解爆炸危险、因物料爆聚或分解造成超温、超压的原料储存设施</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蒸汽管网应设置远传压力和总管流量，并宜设高压自动泄放控制回路和压力高低报警。产生蒸汽的汽包应设置压力、液位检测和报警，并设置液位自动控制和高低液位联锁停车，高液位停止加热介质和进水，低液位停止加热。蒸汽过热器应在过热器出口设置温度控制回路，必要时设温度高高联锁停车。</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不涉及</w:t>
            </w:r>
            <w:r>
              <w:rPr>
                <w:rFonts w:hint="default" w:ascii="Times New Roman" w:hAnsi="Times New Roman" w:cs="Times New Roman"/>
                <w:color w:val="auto"/>
                <w:sz w:val="21"/>
                <w:szCs w:val="21"/>
              </w:rPr>
              <w:t>。</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冷冻盐水、循环水或其它低于常温的冷却系统应当设置温度和流量（或压力）检测，并设置温度高和流量（或压力）低报警。循环水泵应设置电流信号或其它信号的停机报警，循环水总管压力低低报警信号和联锁停机信号宜发送给其服务装置。</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不涉及</w:t>
            </w:r>
            <w:r>
              <w:rPr>
                <w:rFonts w:hint="default" w:ascii="Times New Roman" w:hAnsi="Times New Roman" w:cs="Times New Roman"/>
                <w:color w:val="auto"/>
                <w:sz w:val="21"/>
                <w:szCs w:val="21"/>
              </w:rPr>
              <w:t>。</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处于备用状态的毒性气体的应急处置系统应设置远程和就地一键启动功能，吸收剂供应泵、吸收剂循环泵应设置备用泵，备用泵应具备低压或者低流量自启动功能。</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现有装置不涉及毒性气体的应急处置系统</w:t>
            </w:r>
            <w:r>
              <w:rPr>
                <w:rFonts w:hint="default" w:ascii="Times New Roman" w:hAnsi="Times New Roman" w:cs="Times New Roman"/>
                <w:color w:val="auto"/>
                <w:sz w:val="21"/>
                <w:szCs w:val="21"/>
                <w:lang w:eastAsia="zh-CN"/>
              </w:rPr>
              <w:t>。</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lang w:val="en-US" w:eastAsia="zh-CN"/>
              </w:rPr>
              <w:t>八</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自动控制系统及控制室（含独立机柜间）</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涉及“两重点一重大”的生产装置、储存设施可采用PLC、DCS等自动控制系统，实现集中监测监控。</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color w:val="auto"/>
                <w:sz w:val="21"/>
                <w:szCs w:val="21"/>
                <w:lang w:val="en-US" w:eastAsia="zh-CN"/>
              </w:rPr>
              <w:t>涉及重点监管的危险化学品，</w:t>
            </w:r>
            <w:r>
              <w:rPr>
                <w:rFonts w:hint="default" w:ascii="Times New Roman" w:hAnsi="Times New Roman" w:cs="Times New Roman"/>
                <w:color w:val="auto"/>
                <w:sz w:val="21"/>
                <w:szCs w:val="21"/>
              </w:rPr>
              <w:t>已设置</w:t>
            </w:r>
            <w:r>
              <w:rPr>
                <w:rFonts w:hint="default" w:ascii="Times New Roman" w:hAnsi="Times New Roman" w:cs="Times New Roman"/>
                <w:color w:val="auto"/>
                <w:sz w:val="21"/>
                <w:szCs w:val="21"/>
                <w:lang w:val="en-US" w:eastAsia="zh-CN"/>
              </w:rPr>
              <w:t>PLC</w:t>
            </w:r>
            <w:r>
              <w:rPr>
                <w:rFonts w:hint="default" w:ascii="Times New Roman" w:hAnsi="Times New Roman" w:cs="Times New Roman"/>
                <w:color w:val="auto"/>
                <w:sz w:val="21"/>
                <w:szCs w:val="21"/>
              </w:rPr>
              <w:t>自动控制系统，集中监测监控，对主要的工艺参数进行远传记录和报警等控制。</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CS显示的工艺流程应与PI＆D图和现场一致，SIS显示的逻辑图应与PI＆D图和现场一致。自动化控制联锁系统及安全仪表系统的参数设置必须与实际运行的操作（控制）系统或DCS系统的参数一致，且与设计方案的逻辑关系图相符。</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经现场勘查，</w:t>
            </w:r>
            <w:r>
              <w:rPr>
                <w:rFonts w:hint="default" w:ascii="Times New Roman" w:hAnsi="Times New Roman" w:cs="Times New Roman"/>
                <w:color w:val="auto"/>
                <w:sz w:val="21"/>
                <w:szCs w:val="21"/>
                <w:lang w:val="en-US" w:eastAsia="zh-CN"/>
              </w:rPr>
              <w:t>自控系统</w:t>
            </w:r>
            <w:r>
              <w:rPr>
                <w:rFonts w:hint="default" w:ascii="Times New Roman" w:hAnsi="Times New Roman" w:eastAsia="宋体" w:cs="Times New Roman"/>
                <w:color w:val="auto"/>
                <w:sz w:val="21"/>
                <w:szCs w:val="21"/>
              </w:rPr>
              <w:t>显示的工艺流程与PI＆D图和现场一致</w:t>
            </w:r>
            <w:r>
              <w:rPr>
                <w:rFonts w:hint="default" w:ascii="Times New Roman" w:hAnsi="Times New Roman" w:cs="Times New Roman"/>
                <w:color w:val="auto"/>
                <w:sz w:val="21"/>
                <w:szCs w:val="21"/>
                <w:lang w:eastAsia="zh-CN"/>
              </w:rPr>
              <w:t>。</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DCS和SIS系统应设置管理权限，岗位操作人员不应有修改自动控制系统所有工艺指标、报警和联锁值的权限。</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不涉及</w:t>
            </w:r>
            <w:r>
              <w:rPr>
                <w:rFonts w:hint="default" w:ascii="Times New Roman" w:hAnsi="Times New Roman" w:eastAsia="宋体" w:cs="Times New Roman"/>
                <w:color w:val="auto"/>
                <w:sz w:val="21"/>
                <w:szCs w:val="21"/>
                <w:lang w:val="en-US" w:eastAsia="zh-CN"/>
              </w:rPr>
              <w:t>。</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DCS、SIS、ESD、SCADA系统等系统应当进行定期维护和调试，并保证各系统完好并处于正常投用状态。</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自控系统定期进行维护、调试。</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2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原则上应设置区域性控制室（含机柜间）或全厂性控制室，并符合《控制室设计规范》（HG/T20508）、《石油化工企业设计防火标准》（GB50160）、《石油化工控制室设计规范》（SH/T3006）、《石油化工控制室抗爆设计规范》（GB50779）等规定要求。</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涉及爆炸危险性化学品的生产装置控制室（含机柜间）不得布置在装置区内</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涉及甲乙类火灾危险性的生产装置控制室原则上不得布置在装置区内,确需布置的,应按照《石油化工控制室抗爆设计规范》(GB50779)进行抗爆设计；其他生产装置控制室原则上应独立设置,并符合《建筑设计防火规范》（GB50016）、《石油化工企业设计防火标准》（GB50160）、《精细化工企业工程设计防火标准》（GB51283）等规定要求。</w:t>
            </w:r>
          </w:p>
        </w:tc>
        <w:tc>
          <w:tcPr>
            <w:tcW w:w="207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在爆炸危险区域外设置了独立的控制室，控制室内未按设计要求设置防静电地板，静电接地设置不完善。</w:t>
            </w:r>
          </w:p>
        </w:tc>
        <w:tc>
          <w:tcPr>
            <w:tcW w:w="38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不符合</w:t>
            </w:r>
          </w:p>
        </w:tc>
      </w:tr>
    </w:tbl>
    <w:p>
      <w:pPr>
        <w:bidi w:val="0"/>
        <w:ind w:firstLine="560" w:firstLineChars="200"/>
        <w:rPr>
          <w:rFonts w:hint="default" w:ascii="Times New Roman" w:hAnsi="Times New Roman" w:cs="Times New Roman"/>
        </w:rPr>
      </w:pPr>
      <w:r>
        <w:rPr>
          <w:rFonts w:hint="default" w:ascii="Times New Roman" w:hAnsi="Times New Roman" w:cs="Times New Roman"/>
        </w:rPr>
        <w:t>依据《江西省化工企业自动化提升实施方案》（试行）赣应急字[2021]190号检查，</w:t>
      </w:r>
      <w:r>
        <w:rPr>
          <w:rFonts w:hint="eastAsia" w:cs="Times New Roman"/>
          <w:lang w:eastAsia="zh-CN"/>
        </w:rPr>
        <w:t>该公司有6项未完全落实方案要求</w:t>
      </w:r>
      <w:r>
        <w:rPr>
          <w:rFonts w:hint="default" w:ascii="Times New Roman" w:hAnsi="Times New Roman" w:cs="Times New Roman"/>
        </w:rPr>
        <w:t>，需整改，其他检查项满足要求。需整改项为：</w:t>
      </w:r>
      <w:r>
        <w:rPr>
          <w:rFonts w:hint="default" w:ascii="Times New Roman" w:hAnsi="Times New Roman" w:cs="Times New Roman"/>
          <w:lang w:val="en-US" w:eastAsia="zh-CN"/>
        </w:rPr>
        <w:t>①装置高位槽未设置高高液位联锁切断进料或设溢流管道；②氢氟酸进料切断阀选用电动阀；③氟硅酸储罐、氟硼酸、(10~20%)有水氢氟酸中间罐、碱液罐未设置高低液位报警；④201原料罐区有毒气体检测报警器不能覆盖所有释放源；⑤有毒气体报警器信号上传至控制室PLC系统，未设置独立的气体报警系统；⑥</w:t>
      </w:r>
      <w:r>
        <w:rPr>
          <w:rFonts w:hint="default" w:ascii="Times New Roman" w:hAnsi="Times New Roman" w:cs="Times New Roman"/>
        </w:rPr>
        <w:t>控制室内未按设计要求设置防静电地板，静电接地设置不完善。</w:t>
      </w:r>
    </w:p>
    <w:p>
      <w:pPr>
        <w:pStyle w:val="5"/>
        <w:ind w:left="0" w:leftChars="0"/>
        <w:rPr>
          <w:rFonts w:hint="default" w:ascii="Times New Roman" w:hAnsi="Times New Roman" w:cs="Times New Roman"/>
        </w:rPr>
      </w:pPr>
      <w:r>
        <w:rPr>
          <w:rFonts w:hint="default" w:ascii="Times New Roman" w:hAnsi="Times New Roman" w:cs="Times New Roman"/>
        </w:rPr>
        <w:t>C.5.3空压子单元</w:t>
      </w:r>
    </w:p>
    <w:p>
      <w:pPr>
        <w:spacing w:line="360" w:lineRule="auto"/>
        <w:ind w:firstLine="560" w:firstLineChars="200"/>
        <w:jc w:val="left"/>
        <w:rPr>
          <w:rFonts w:hint="default" w:ascii="Times New Roman" w:hAnsi="Times New Roman" w:cs="Times New Roman"/>
        </w:rPr>
      </w:pPr>
      <w:r>
        <w:rPr>
          <w:rFonts w:hint="default" w:ascii="Times New Roman" w:hAnsi="Times New Roman" w:cs="Times New Roman"/>
        </w:rPr>
        <w:t>评价组根据《中华人民共和国安全生产法》、《化工企业安全卫生设计规定》、《生产设备安全卫生设计规定》、《压缩空气站设计规范》等制定检查表，对该公司的空压采用的安全设施等是否符合规范、标准的要求进行检查，检查结果见下表。</w:t>
      </w:r>
    </w:p>
    <w:p>
      <w:pPr>
        <w:jc w:val="center"/>
        <w:rPr>
          <w:rFonts w:hint="default" w:ascii="Times New Roman" w:hAnsi="Times New Roman" w:cs="Times New Roman"/>
        </w:rPr>
      </w:pPr>
      <w:r>
        <w:rPr>
          <w:rFonts w:hint="default" w:ascii="Times New Roman" w:hAnsi="Times New Roman" w:cs="Times New Roman"/>
        </w:rPr>
        <w:t>附表C.5-</w:t>
      </w:r>
      <w:r>
        <w:rPr>
          <w:rFonts w:hint="default" w:ascii="Times New Roman" w:hAnsi="Times New Roman" w:cs="Times New Roman"/>
          <w:lang w:val="en-US" w:eastAsia="zh-CN"/>
        </w:rPr>
        <w:t>4</w:t>
      </w:r>
      <w:r>
        <w:rPr>
          <w:rFonts w:hint="default" w:ascii="Times New Roman" w:hAnsi="Times New Roman" w:cs="Times New Roman"/>
        </w:rPr>
        <w:t>空压子单元安全检查表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4412"/>
        <w:gridCol w:w="699"/>
        <w:gridCol w:w="1678"/>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0" w:type="pct"/>
            <w:tcBorders>
              <w:tl2br w:val="nil"/>
              <w:tr2bl w:val="nil"/>
            </w:tcBorders>
            <w:vAlign w:val="center"/>
          </w:tcPr>
          <w:p>
            <w:pPr>
              <w:keepNext w:val="0"/>
              <w:keepLines w:val="0"/>
              <w:pageBreakBefore w:val="0"/>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r>
              <w:rPr>
                <w:rFonts w:hint="default" w:ascii="Times New Roman" w:hAnsi="Times New Roman" w:cs="Times New Roman"/>
                <w:sz w:val="20"/>
                <w:szCs w:val="20"/>
              </w:rPr>
              <w:t>序号</w:t>
            </w:r>
          </w:p>
        </w:tc>
        <w:tc>
          <w:tcPr>
            <w:tcW w:w="2374" w:type="pct"/>
            <w:tcBorders>
              <w:tl2br w:val="nil"/>
              <w:tr2bl w:val="nil"/>
            </w:tcBorders>
            <w:vAlign w:val="center"/>
          </w:tcPr>
          <w:p>
            <w:pPr>
              <w:keepNext w:val="0"/>
              <w:keepLines w:val="0"/>
              <w:pageBreakBefore w:val="0"/>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r>
              <w:rPr>
                <w:rFonts w:hint="default" w:ascii="Times New Roman" w:hAnsi="Times New Roman" w:cs="Times New Roman"/>
                <w:sz w:val="20"/>
                <w:szCs w:val="20"/>
              </w:rPr>
              <w:t>检查项目和内容</w:t>
            </w:r>
          </w:p>
        </w:tc>
        <w:tc>
          <w:tcPr>
            <w:tcW w:w="376" w:type="pct"/>
            <w:tcBorders>
              <w:tl2br w:val="nil"/>
              <w:tr2bl w:val="nil"/>
            </w:tcBorders>
          </w:tcPr>
          <w:p>
            <w:pPr>
              <w:keepNext w:val="0"/>
              <w:keepLines w:val="0"/>
              <w:pageBreakBefore w:val="0"/>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r>
              <w:rPr>
                <w:rFonts w:hint="default" w:ascii="Times New Roman" w:hAnsi="Times New Roman" w:cs="Times New Roman"/>
                <w:sz w:val="20"/>
                <w:szCs w:val="20"/>
              </w:rPr>
              <w:t>检查结果</w:t>
            </w:r>
          </w:p>
        </w:tc>
        <w:tc>
          <w:tcPr>
            <w:tcW w:w="903" w:type="pct"/>
            <w:tcBorders>
              <w:tl2br w:val="nil"/>
              <w:tr2bl w:val="nil"/>
            </w:tcBorders>
            <w:vAlign w:val="center"/>
          </w:tcPr>
          <w:p>
            <w:pPr>
              <w:keepNext w:val="0"/>
              <w:keepLines w:val="0"/>
              <w:pageBreakBefore w:val="0"/>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r>
              <w:rPr>
                <w:rFonts w:hint="default" w:ascii="Times New Roman" w:hAnsi="Times New Roman" w:cs="Times New Roman"/>
                <w:sz w:val="20"/>
                <w:szCs w:val="20"/>
              </w:rPr>
              <w:t>检查依据</w:t>
            </w:r>
          </w:p>
        </w:tc>
        <w:tc>
          <w:tcPr>
            <w:tcW w:w="1105" w:type="pct"/>
            <w:tcBorders>
              <w:tl2br w:val="nil"/>
              <w:tr2bl w:val="nil"/>
            </w:tcBorders>
            <w:vAlign w:val="center"/>
          </w:tcPr>
          <w:p>
            <w:pPr>
              <w:keepNext w:val="0"/>
              <w:keepLines w:val="0"/>
              <w:pageBreakBefore w:val="0"/>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r>
              <w:rPr>
                <w:rFonts w:hint="default" w:ascii="Times New Roman" w:hAnsi="Times New Roman" w:cs="Times New Roman"/>
                <w:sz w:val="20"/>
                <w:szCs w:val="20"/>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tcBorders>
              <w:tl2br w:val="nil"/>
              <w:tr2bl w:val="nil"/>
            </w:tcBorders>
            <w:vAlign w:val="center"/>
          </w:tcPr>
          <w:p>
            <w:pPr>
              <w:keepNext w:val="0"/>
              <w:keepLines w:val="0"/>
              <w:pageBreakBefore w:val="0"/>
              <w:numPr>
                <w:ilvl w:val="0"/>
                <w:numId w:val="31"/>
              </w:numPr>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p>
        </w:tc>
        <w:tc>
          <w:tcPr>
            <w:tcW w:w="2374"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生产经营单位不得使用应当淘汰的危及生产安全的工艺、设备。</w:t>
            </w:r>
          </w:p>
        </w:tc>
        <w:tc>
          <w:tcPr>
            <w:tcW w:w="376"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符合要求</w:t>
            </w:r>
          </w:p>
        </w:tc>
        <w:tc>
          <w:tcPr>
            <w:tcW w:w="903"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《中华人民共和国安全生产法》第38条</w:t>
            </w:r>
          </w:p>
        </w:tc>
        <w:tc>
          <w:tcPr>
            <w:tcW w:w="1105"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不涉及淘汰、禁止使用的危及生产安全的工艺、设备。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tcBorders>
              <w:tl2br w:val="nil"/>
              <w:tr2bl w:val="nil"/>
            </w:tcBorders>
            <w:vAlign w:val="center"/>
          </w:tcPr>
          <w:p>
            <w:pPr>
              <w:keepNext w:val="0"/>
              <w:keepLines w:val="0"/>
              <w:pageBreakBefore w:val="0"/>
              <w:numPr>
                <w:ilvl w:val="0"/>
                <w:numId w:val="31"/>
              </w:numPr>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p>
        </w:tc>
        <w:tc>
          <w:tcPr>
            <w:tcW w:w="2374"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应采用没有危害或危害较小的新工艺、新技术、新设备。淘汰职业病危害严重又难以治理的落后工艺和设备，降低、减少、削弱生产过程对环境和操作人员的危害。</w:t>
            </w:r>
          </w:p>
        </w:tc>
        <w:tc>
          <w:tcPr>
            <w:tcW w:w="376"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903"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《化工企业安全卫生设计规定》3.3.2</w:t>
            </w:r>
          </w:p>
        </w:tc>
        <w:tc>
          <w:tcPr>
            <w:tcW w:w="1105"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成熟工艺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 w:type="pct"/>
            <w:tcBorders>
              <w:tl2br w:val="nil"/>
              <w:tr2bl w:val="nil"/>
            </w:tcBorders>
            <w:vAlign w:val="center"/>
          </w:tcPr>
          <w:p>
            <w:pPr>
              <w:keepNext w:val="0"/>
              <w:keepLines w:val="0"/>
              <w:pageBreakBefore w:val="0"/>
              <w:numPr>
                <w:ilvl w:val="0"/>
                <w:numId w:val="31"/>
              </w:numPr>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p>
        </w:tc>
        <w:tc>
          <w:tcPr>
            <w:tcW w:w="2374"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在正常使用环境下，对人有危害的材料不宜用来制造生产设备。若必须使用时，则应采取可靠的安全卫生技术措施以保障人员的安全和健康。</w:t>
            </w:r>
          </w:p>
        </w:tc>
        <w:tc>
          <w:tcPr>
            <w:tcW w:w="376"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903"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《生产设备安全卫生设计规定》5.2.2</w:t>
            </w:r>
          </w:p>
        </w:tc>
        <w:tc>
          <w:tcPr>
            <w:tcW w:w="1105" w:type="pct"/>
            <w:tcBorders>
              <w:tl2br w:val="nil"/>
              <w:tr2bl w:val="nil"/>
            </w:tcBorders>
            <w:vAlign w:val="center"/>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正规生产厂件，不使用对人有危害的材料制造生产设备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tcBorders>
              <w:tl2br w:val="nil"/>
              <w:tr2bl w:val="nil"/>
            </w:tcBorders>
            <w:vAlign w:val="center"/>
          </w:tcPr>
          <w:p>
            <w:pPr>
              <w:keepNext w:val="0"/>
              <w:keepLines w:val="0"/>
              <w:pageBreakBefore w:val="0"/>
              <w:numPr>
                <w:ilvl w:val="0"/>
                <w:numId w:val="31"/>
              </w:numPr>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p>
        </w:tc>
        <w:tc>
          <w:tcPr>
            <w:tcW w:w="2374"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生产设备及其零部件的安全使用期限，应小于其材料在使用条件下的老化或疲劳期限。</w:t>
            </w:r>
          </w:p>
        </w:tc>
        <w:tc>
          <w:tcPr>
            <w:tcW w:w="376"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903"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《生产设备安全卫生设计规定》5.2.3</w:t>
            </w:r>
          </w:p>
        </w:tc>
        <w:tc>
          <w:tcPr>
            <w:tcW w:w="1105" w:type="pct"/>
            <w:tcBorders>
              <w:tl2br w:val="nil"/>
              <w:tr2bl w:val="nil"/>
            </w:tcBorders>
            <w:vAlign w:val="center"/>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安全使用期限，小于其材料在使用条件下的老化或疲劳期限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 w:type="pct"/>
            <w:tcBorders>
              <w:tl2br w:val="nil"/>
              <w:tr2bl w:val="nil"/>
            </w:tcBorders>
            <w:vAlign w:val="center"/>
          </w:tcPr>
          <w:p>
            <w:pPr>
              <w:keepNext w:val="0"/>
              <w:keepLines w:val="0"/>
              <w:pageBreakBefore w:val="0"/>
              <w:numPr>
                <w:ilvl w:val="0"/>
                <w:numId w:val="31"/>
              </w:numPr>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p>
        </w:tc>
        <w:tc>
          <w:tcPr>
            <w:tcW w:w="2374"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易被腐蚀或空蚀的生产设备及其零部件应选用耐腐蚀或耐空蚀材料制造，并应采取防蚀措施。同时，应规定检查和更换周期。</w:t>
            </w:r>
          </w:p>
        </w:tc>
        <w:tc>
          <w:tcPr>
            <w:tcW w:w="376"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903"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《生产设备安全卫生设计规定》5.2.4</w:t>
            </w:r>
          </w:p>
        </w:tc>
        <w:tc>
          <w:tcPr>
            <w:tcW w:w="1105" w:type="pct"/>
            <w:tcBorders>
              <w:tl2br w:val="nil"/>
              <w:tr2bl w:val="nil"/>
            </w:tcBorders>
            <w:vAlign w:val="center"/>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选用耐腐蚀或耐空蚀材料制造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tcBorders>
              <w:tl2br w:val="nil"/>
              <w:tr2bl w:val="nil"/>
            </w:tcBorders>
            <w:vAlign w:val="center"/>
          </w:tcPr>
          <w:p>
            <w:pPr>
              <w:keepNext w:val="0"/>
              <w:keepLines w:val="0"/>
              <w:pageBreakBefore w:val="0"/>
              <w:numPr>
                <w:ilvl w:val="0"/>
                <w:numId w:val="31"/>
              </w:numPr>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p>
        </w:tc>
        <w:tc>
          <w:tcPr>
            <w:tcW w:w="2374"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禁止使用能与工作介质发生反应而造成危害（爆炸或生成有害物质等）的材料。</w:t>
            </w:r>
          </w:p>
        </w:tc>
        <w:tc>
          <w:tcPr>
            <w:tcW w:w="376"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903"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《生产设备安全卫生设计规定》5.2.5</w:t>
            </w:r>
          </w:p>
        </w:tc>
        <w:tc>
          <w:tcPr>
            <w:tcW w:w="1105" w:type="pct"/>
            <w:tcBorders>
              <w:tl2br w:val="nil"/>
              <w:tr2bl w:val="nil"/>
            </w:tcBorders>
            <w:vAlign w:val="center"/>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不使用能与工作介质发生反应而造成危害（爆炸或生成有害物质等）的材料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tcBorders>
              <w:tl2br w:val="nil"/>
              <w:tr2bl w:val="nil"/>
            </w:tcBorders>
            <w:vAlign w:val="center"/>
          </w:tcPr>
          <w:p>
            <w:pPr>
              <w:keepNext w:val="0"/>
              <w:keepLines w:val="0"/>
              <w:pageBreakBefore w:val="0"/>
              <w:numPr>
                <w:ilvl w:val="0"/>
                <w:numId w:val="31"/>
              </w:numPr>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p>
        </w:tc>
        <w:tc>
          <w:tcPr>
            <w:tcW w:w="2374"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生产设备不应在振动、风载或其他可预见的外载荷作用下倾覆或产生允许范围外的运动。</w:t>
            </w:r>
          </w:p>
        </w:tc>
        <w:tc>
          <w:tcPr>
            <w:tcW w:w="376"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903"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《生产设备安全卫生设计规定》5.3.1</w:t>
            </w:r>
          </w:p>
        </w:tc>
        <w:tc>
          <w:tcPr>
            <w:tcW w:w="1105" w:type="pct"/>
            <w:tcBorders>
              <w:tl2br w:val="nil"/>
              <w:tr2bl w:val="nil"/>
            </w:tcBorders>
            <w:vAlign w:val="center"/>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生产设备安装牢固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tcBorders>
              <w:tl2br w:val="nil"/>
              <w:tr2bl w:val="nil"/>
            </w:tcBorders>
            <w:vAlign w:val="center"/>
          </w:tcPr>
          <w:p>
            <w:pPr>
              <w:keepNext w:val="0"/>
              <w:keepLines w:val="0"/>
              <w:pageBreakBefore w:val="0"/>
              <w:numPr>
                <w:ilvl w:val="0"/>
                <w:numId w:val="31"/>
              </w:numPr>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p>
        </w:tc>
        <w:tc>
          <w:tcPr>
            <w:tcW w:w="2374"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自动或半自动控制系统应设有必要的保护装置，以防止控制指令紊乱。同时，在每台设备上还应辅以能单独操纵的手动控制装置。</w:t>
            </w:r>
          </w:p>
        </w:tc>
        <w:tc>
          <w:tcPr>
            <w:tcW w:w="376"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903"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《生产设备安全卫生设计规定》 5.6.1.2</w:t>
            </w:r>
          </w:p>
        </w:tc>
        <w:tc>
          <w:tcPr>
            <w:tcW w:w="1105" w:type="pct"/>
            <w:tcBorders>
              <w:tl2br w:val="nil"/>
              <w:tr2bl w:val="nil"/>
            </w:tcBorders>
            <w:vAlign w:val="center"/>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自动控制系统设有必要的保护装置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tcBorders>
              <w:tl2br w:val="nil"/>
              <w:tr2bl w:val="nil"/>
            </w:tcBorders>
            <w:vAlign w:val="center"/>
          </w:tcPr>
          <w:p>
            <w:pPr>
              <w:keepNext w:val="0"/>
              <w:keepLines w:val="0"/>
              <w:pageBreakBefore w:val="0"/>
              <w:numPr>
                <w:ilvl w:val="0"/>
                <w:numId w:val="31"/>
              </w:numPr>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p>
        </w:tc>
        <w:tc>
          <w:tcPr>
            <w:tcW w:w="2374"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高速旋转或往复运动的机械零部件位置应设计可靠的防护设施、挡板或安全围栏。</w:t>
            </w:r>
          </w:p>
        </w:tc>
        <w:tc>
          <w:tcPr>
            <w:tcW w:w="376"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符合要求</w:t>
            </w:r>
          </w:p>
        </w:tc>
        <w:tc>
          <w:tcPr>
            <w:tcW w:w="903"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《化工企业安全卫生设计规范》4.6.2</w:t>
            </w:r>
          </w:p>
        </w:tc>
        <w:tc>
          <w:tcPr>
            <w:tcW w:w="1105"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textAlignment w:val="auto"/>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设可靠的防护设施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 w:type="pct"/>
            <w:tcBorders>
              <w:tl2br w:val="nil"/>
              <w:tr2bl w:val="nil"/>
            </w:tcBorders>
            <w:vAlign w:val="center"/>
          </w:tcPr>
          <w:p>
            <w:pPr>
              <w:keepNext w:val="0"/>
              <w:keepLines w:val="0"/>
              <w:pageBreakBefore w:val="0"/>
              <w:numPr>
                <w:ilvl w:val="0"/>
                <w:numId w:val="31"/>
              </w:numPr>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p>
        </w:tc>
        <w:tc>
          <w:tcPr>
            <w:tcW w:w="2374"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人员易触及的可动零部件，应尽可能封闭或隔离。　　</w:t>
            </w:r>
          </w:p>
        </w:tc>
        <w:tc>
          <w:tcPr>
            <w:tcW w:w="376"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符合要求</w:t>
            </w:r>
          </w:p>
        </w:tc>
        <w:tc>
          <w:tcPr>
            <w:tcW w:w="903"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《生产设备安全卫生设计规定》6.1.1</w:t>
            </w:r>
          </w:p>
        </w:tc>
        <w:tc>
          <w:tcPr>
            <w:tcW w:w="1105"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textAlignment w:val="auto"/>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tcBorders>
              <w:tl2br w:val="nil"/>
              <w:tr2bl w:val="nil"/>
            </w:tcBorders>
            <w:vAlign w:val="center"/>
          </w:tcPr>
          <w:p>
            <w:pPr>
              <w:keepNext w:val="0"/>
              <w:keepLines w:val="0"/>
              <w:pageBreakBefore w:val="0"/>
              <w:numPr>
                <w:ilvl w:val="0"/>
                <w:numId w:val="31"/>
              </w:numPr>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p>
        </w:tc>
        <w:tc>
          <w:tcPr>
            <w:tcW w:w="2374"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对操作人员在设备运行时可能触及的可动零部件，必须配置必要的安全防护装置。</w:t>
            </w:r>
          </w:p>
        </w:tc>
        <w:tc>
          <w:tcPr>
            <w:tcW w:w="376"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符合要求</w:t>
            </w:r>
          </w:p>
        </w:tc>
        <w:tc>
          <w:tcPr>
            <w:tcW w:w="903"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《生产设备安全卫生设计规定》6.1.2</w:t>
            </w:r>
          </w:p>
        </w:tc>
        <w:tc>
          <w:tcPr>
            <w:tcW w:w="1105"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配置必要的安全防护装置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tcBorders>
              <w:tl2br w:val="nil"/>
              <w:tr2bl w:val="nil"/>
            </w:tcBorders>
            <w:vAlign w:val="center"/>
          </w:tcPr>
          <w:p>
            <w:pPr>
              <w:keepNext w:val="0"/>
              <w:keepLines w:val="0"/>
              <w:pageBreakBefore w:val="0"/>
              <w:numPr>
                <w:ilvl w:val="0"/>
                <w:numId w:val="31"/>
              </w:numPr>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p>
        </w:tc>
        <w:tc>
          <w:tcPr>
            <w:tcW w:w="2374"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以操作人员的操作位置所在平面为基准，凡高度在2m之内的所有传动带、转轴、传动链、联轴节、带轮、齿轮、飞轮、链轮、电锯等外露危险零部件及危险部位，都必须设置安全防护装置。</w:t>
            </w:r>
          </w:p>
        </w:tc>
        <w:tc>
          <w:tcPr>
            <w:tcW w:w="376"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符合要求</w:t>
            </w:r>
          </w:p>
        </w:tc>
        <w:tc>
          <w:tcPr>
            <w:tcW w:w="903"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《生产设备安全卫生设计规定》6.1.6</w:t>
            </w:r>
          </w:p>
        </w:tc>
        <w:tc>
          <w:tcPr>
            <w:tcW w:w="1105"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设置防护罩等安全防护装置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 w:type="pct"/>
            <w:tcBorders>
              <w:tl2br w:val="nil"/>
              <w:tr2bl w:val="nil"/>
            </w:tcBorders>
            <w:vAlign w:val="center"/>
          </w:tcPr>
          <w:p>
            <w:pPr>
              <w:keepNext w:val="0"/>
              <w:keepLines w:val="0"/>
              <w:pageBreakBefore w:val="0"/>
              <w:numPr>
                <w:ilvl w:val="0"/>
                <w:numId w:val="31"/>
              </w:numPr>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p>
        </w:tc>
        <w:tc>
          <w:tcPr>
            <w:tcW w:w="2374"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距下方相邻地板或地面1.2m及以上的平台、通道或工作面的所有敞开边缘应设置防护栏杆</w:t>
            </w:r>
          </w:p>
        </w:tc>
        <w:tc>
          <w:tcPr>
            <w:tcW w:w="376"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符合要求</w:t>
            </w:r>
          </w:p>
        </w:tc>
        <w:tc>
          <w:tcPr>
            <w:tcW w:w="903"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《固定式钢梯及平台安全要求 第3部分：工业防护栏杆及钢平台》4.1.1</w:t>
            </w:r>
          </w:p>
        </w:tc>
        <w:tc>
          <w:tcPr>
            <w:tcW w:w="1105" w:type="pct"/>
            <w:tcBorders>
              <w:tl2br w:val="nil"/>
              <w:tr2bl w:val="nil"/>
            </w:tcBorders>
            <w:vAlign w:val="center"/>
          </w:tcPr>
          <w:p>
            <w:pPr>
              <w:keepNext w:val="0"/>
              <w:keepLines w:val="0"/>
              <w:pageBreakBefore w:val="0"/>
              <w:widowControl/>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该项目平台、通道及工作面的所有敞开边缘均设置防护栏杆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tcBorders>
              <w:tl2br w:val="nil"/>
              <w:tr2bl w:val="nil"/>
            </w:tcBorders>
            <w:vAlign w:val="center"/>
          </w:tcPr>
          <w:p>
            <w:pPr>
              <w:keepNext w:val="0"/>
              <w:keepLines w:val="0"/>
              <w:pageBreakBefore w:val="0"/>
              <w:numPr>
                <w:ilvl w:val="0"/>
                <w:numId w:val="31"/>
              </w:numPr>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p>
        </w:tc>
        <w:tc>
          <w:tcPr>
            <w:tcW w:w="2374" w:type="pct"/>
            <w:tcBorders>
              <w:tl2br w:val="nil"/>
              <w:tr2bl w:val="nil"/>
            </w:tcBorders>
            <w:vAlign w:val="center"/>
          </w:tcPr>
          <w:p>
            <w:pPr>
              <w:keepNext w:val="0"/>
              <w:keepLines w:val="0"/>
              <w:pageBreakBefore w:val="0"/>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储气罐上必须装设安全阀。储气罐与供气总管之间，应装设切断阀。</w:t>
            </w:r>
          </w:p>
        </w:tc>
        <w:tc>
          <w:tcPr>
            <w:tcW w:w="376"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903"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《压缩空气站设计规范》3.0.18</w:t>
            </w:r>
          </w:p>
        </w:tc>
        <w:tc>
          <w:tcPr>
            <w:tcW w:w="1105" w:type="pct"/>
            <w:tcBorders>
              <w:tl2br w:val="nil"/>
              <w:tr2bl w:val="nil"/>
            </w:tcBorders>
            <w:vAlign w:val="center"/>
          </w:tcPr>
          <w:p>
            <w:pPr>
              <w:keepNext w:val="0"/>
              <w:keepLines w:val="0"/>
              <w:pageBreakBefore w:val="0"/>
              <w:kinsoku/>
              <w:wordWrap/>
              <w:overflowPunct w:val="0"/>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装设安全阀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tcBorders>
              <w:tl2br w:val="nil"/>
              <w:tr2bl w:val="nil"/>
            </w:tcBorders>
            <w:vAlign w:val="center"/>
          </w:tcPr>
          <w:p>
            <w:pPr>
              <w:keepNext w:val="0"/>
              <w:keepLines w:val="0"/>
              <w:pageBreakBefore w:val="0"/>
              <w:numPr>
                <w:ilvl w:val="0"/>
                <w:numId w:val="31"/>
              </w:numPr>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0"/>
                <w:szCs w:val="20"/>
              </w:rPr>
            </w:pPr>
          </w:p>
        </w:tc>
        <w:tc>
          <w:tcPr>
            <w:tcW w:w="2374" w:type="pct"/>
            <w:tcBorders>
              <w:tl2br w:val="nil"/>
              <w:tr2bl w:val="nil"/>
            </w:tcBorders>
            <w:vAlign w:val="center"/>
          </w:tcPr>
          <w:p>
            <w:pPr>
              <w:keepNext w:val="0"/>
              <w:keepLines w:val="0"/>
              <w:pageBreakBefore w:val="0"/>
              <w:kinsoku/>
              <w:wordWrap/>
              <w:overflowPunct w:val="0"/>
              <w:topLinePunct w:val="0"/>
              <w:autoSpaceDE/>
              <w:autoSpaceDN/>
              <w:bidi w:val="0"/>
              <w:adjustRightInd/>
              <w:snapToGrid/>
              <w:spacing w:line="344"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空气压缩机组的联轴器和皮带传动部分必须装设安全防 护设施。</w:t>
            </w:r>
          </w:p>
        </w:tc>
        <w:tc>
          <w:tcPr>
            <w:tcW w:w="376"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903" w:type="pct"/>
            <w:tcBorders>
              <w:tl2br w:val="nil"/>
              <w:tr2bl w:val="nil"/>
            </w:tcBorders>
          </w:tcPr>
          <w:p>
            <w:pPr>
              <w:keepNext w:val="0"/>
              <w:keepLines w:val="0"/>
              <w:pageBreakBefore w:val="0"/>
              <w:kinsoku/>
              <w:wordWrap/>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《压缩空气站设计规范》3.0.14</w:t>
            </w:r>
          </w:p>
        </w:tc>
        <w:tc>
          <w:tcPr>
            <w:tcW w:w="1105" w:type="pct"/>
            <w:tcBorders>
              <w:tl2br w:val="nil"/>
              <w:tr2bl w:val="nil"/>
            </w:tcBorders>
            <w:vAlign w:val="center"/>
          </w:tcPr>
          <w:p>
            <w:pPr>
              <w:keepNext w:val="0"/>
              <w:keepLines w:val="0"/>
              <w:pageBreakBefore w:val="0"/>
              <w:kinsoku/>
              <w:wordWrap/>
              <w:overflowPunct w:val="0"/>
              <w:topLinePunct w:val="0"/>
              <w:autoSpaceDE/>
              <w:autoSpaceDN/>
              <w:bidi w:val="0"/>
              <w:adjustRightInd/>
              <w:snapToGrid/>
              <w:spacing w:line="34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设安全防护设施</w:t>
            </w:r>
          </w:p>
        </w:tc>
      </w:tr>
    </w:tbl>
    <w:p>
      <w:pPr>
        <w:spacing w:line="360" w:lineRule="auto"/>
        <w:ind w:firstLine="530" w:firstLineChars="200"/>
        <w:rPr>
          <w:rFonts w:hint="default" w:ascii="Times New Roman" w:hAnsi="Times New Roman" w:cs="Times New Roman"/>
          <w:b/>
          <w:bCs/>
          <w:spacing w:val="-8"/>
        </w:rPr>
      </w:pPr>
      <w:r>
        <w:rPr>
          <w:rFonts w:hint="default" w:ascii="Times New Roman" w:hAnsi="Times New Roman" w:cs="Times New Roman"/>
          <w:b/>
          <w:bCs/>
          <w:spacing w:val="-8"/>
        </w:rPr>
        <w:t>单元评价小结</w:t>
      </w:r>
    </w:p>
    <w:p>
      <w:pPr>
        <w:spacing w:line="360" w:lineRule="auto"/>
        <w:ind w:firstLine="560" w:firstLineChars="200"/>
        <w:jc w:val="left"/>
        <w:rPr>
          <w:rFonts w:hint="default" w:ascii="Times New Roman" w:hAnsi="Times New Roman" w:cs="Times New Roman"/>
          <w:snapToGrid w:val="0"/>
        </w:rPr>
      </w:pPr>
      <w:r>
        <w:rPr>
          <w:rFonts w:hint="default" w:ascii="Times New Roman" w:hAnsi="Times New Roman" w:cs="Times New Roman"/>
          <w:snapToGrid w:val="0"/>
        </w:rPr>
        <w:t>对该单元采用安全检查表法分析，共进行了15项内容的检查分析，</w:t>
      </w:r>
      <w:r>
        <w:rPr>
          <w:rFonts w:hint="default" w:ascii="Times New Roman" w:hAnsi="Times New Roman" w:cs="Times New Roman"/>
          <w:snapToGrid w:val="0"/>
          <w:lang w:val="en-US" w:eastAsia="zh-CN"/>
        </w:rPr>
        <w:t>无不符合项</w:t>
      </w:r>
      <w:r>
        <w:rPr>
          <w:rFonts w:hint="default" w:ascii="Times New Roman" w:hAnsi="Times New Roman" w:cs="Times New Roman"/>
          <w:snapToGrid w:val="0"/>
        </w:rPr>
        <w:t>。</w:t>
      </w:r>
    </w:p>
    <w:p>
      <w:pPr>
        <w:pStyle w:val="5"/>
        <w:ind w:left="0" w:leftChars="0"/>
        <w:rPr>
          <w:rFonts w:hint="default" w:ascii="Times New Roman" w:hAnsi="Times New Roman" w:cs="Times New Roman"/>
        </w:rPr>
      </w:pPr>
      <w:r>
        <w:rPr>
          <w:rFonts w:hint="default" w:ascii="Times New Roman" w:hAnsi="Times New Roman" w:cs="Times New Roman"/>
        </w:rPr>
        <w:t>C.5.4特种设备子单元</w:t>
      </w:r>
    </w:p>
    <w:p>
      <w:pPr>
        <w:widowControl/>
        <w:overflowPunct w:val="0"/>
        <w:spacing w:line="360" w:lineRule="auto"/>
        <w:ind w:firstLine="560" w:firstLineChars="200"/>
        <w:jc w:val="left"/>
        <w:rPr>
          <w:rFonts w:hint="default" w:ascii="Times New Roman" w:hAnsi="Times New Roman" w:cs="Times New Roman"/>
        </w:rPr>
      </w:pPr>
      <w:r>
        <w:rPr>
          <w:rFonts w:hint="default" w:ascii="Times New Roman" w:hAnsi="Times New Roman" w:cs="Times New Roman"/>
        </w:rPr>
        <w:t>检查组依据《</w:t>
      </w:r>
      <w:r>
        <w:rPr>
          <w:rFonts w:hint="default" w:ascii="Times New Roman" w:hAnsi="Times New Roman" w:cs="Times New Roman"/>
        </w:rPr>
        <w:fldChar w:fldCharType="begin"/>
      </w:r>
      <w:r>
        <w:rPr>
          <w:rFonts w:hint="default" w:ascii="Times New Roman" w:hAnsi="Times New Roman" w:cs="Times New Roman"/>
        </w:rPr>
        <w:instrText xml:space="preserve"> HYPERLINK "http://baike.so.com/doc/1279856.html" \t "_blank" </w:instrText>
      </w:r>
      <w:r>
        <w:rPr>
          <w:rFonts w:hint="default" w:ascii="Times New Roman" w:hAnsi="Times New Roman" w:cs="Times New Roman"/>
        </w:rPr>
        <w:fldChar w:fldCharType="separate"/>
      </w:r>
      <w:r>
        <w:rPr>
          <w:rFonts w:hint="default" w:ascii="Times New Roman" w:hAnsi="Times New Roman" w:cs="Times New Roman"/>
        </w:rPr>
        <w:t>中华人民共和国</w:t>
      </w:r>
      <w:r>
        <w:rPr>
          <w:rFonts w:hint="default" w:ascii="Times New Roman" w:hAnsi="Times New Roman" w:cs="Times New Roman"/>
        </w:rPr>
        <w:fldChar w:fldCharType="end"/>
      </w:r>
      <w:r>
        <w:rPr>
          <w:rFonts w:hint="default" w:ascii="Times New Roman" w:hAnsi="Times New Roman" w:cs="Times New Roman"/>
        </w:rPr>
        <w:t>特种设备安全法》、《固定式压力容器安全技术监察规程》、等规程、规范，使用安全检查表对该公司的特种设备及强检设备单元进行了现场检查，检查情况见下表。</w:t>
      </w:r>
    </w:p>
    <w:p>
      <w:pPr>
        <w:widowControl/>
        <w:overflowPunct w:val="0"/>
        <w:spacing w:line="360" w:lineRule="auto"/>
        <w:jc w:val="center"/>
        <w:rPr>
          <w:rFonts w:hint="default" w:ascii="Times New Roman" w:hAnsi="Times New Roman" w:cs="Times New Roman"/>
        </w:rPr>
      </w:pPr>
      <w:r>
        <w:rPr>
          <w:rFonts w:hint="default" w:ascii="Times New Roman" w:hAnsi="Times New Roman" w:cs="Times New Roman"/>
        </w:rPr>
        <w:t>附表C.5-</w:t>
      </w:r>
      <w:r>
        <w:rPr>
          <w:rFonts w:hint="default" w:ascii="Times New Roman" w:hAnsi="Times New Roman" w:cs="Times New Roman"/>
          <w:lang w:val="en-US" w:eastAsia="zh-CN"/>
        </w:rPr>
        <w:t>5</w:t>
      </w:r>
      <w:r>
        <w:rPr>
          <w:rFonts w:hint="default" w:ascii="Times New Roman" w:hAnsi="Times New Roman" w:cs="Times New Roman"/>
        </w:rPr>
        <w:t>特种设备子单元安全检查表</w:t>
      </w:r>
    </w:p>
    <w:tbl>
      <w:tblPr>
        <w:tblStyle w:val="25"/>
        <w:tblW w:w="4995"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4369"/>
        <w:gridCol w:w="2160"/>
        <w:gridCol w:w="1618"/>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354"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检查内容</w:t>
            </w:r>
          </w:p>
        </w:tc>
        <w:tc>
          <w:tcPr>
            <w:tcW w:w="1163"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依据</w:t>
            </w:r>
          </w:p>
        </w:tc>
        <w:tc>
          <w:tcPr>
            <w:tcW w:w="871"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实际情况</w:t>
            </w:r>
          </w:p>
        </w:tc>
        <w:tc>
          <w:tcPr>
            <w:tcW w:w="384"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检查</w:t>
            </w:r>
          </w:p>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numPr>
                <w:ilvl w:val="0"/>
                <w:numId w:val="32"/>
              </w:numPr>
              <w:kinsoku/>
              <w:wordWrap/>
              <w:overflowPunct/>
              <w:topLinePunct w:val="0"/>
              <w:autoSpaceDE/>
              <w:autoSpaceDN/>
              <w:bidi w:val="0"/>
              <w:spacing w:line="340" w:lineRule="exact"/>
              <w:textAlignment w:val="auto"/>
              <w:rPr>
                <w:rFonts w:hint="default" w:ascii="Times New Roman" w:hAnsi="Times New Roman" w:cs="Times New Roman"/>
                <w:sz w:val="21"/>
                <w:szCs w:val="21"/>
              </w:rPr>
            </w:pPr>
          </w:p>
        </w:tc>
        <w:tc>
          <w:tcPr>
            <w:tcW w:w="2354" w:type="pct"/>
            <w:tcBorders>
              <w:left w:val="nil"/>
            </w:tcBorders>
            <w:vAlign w:val="center"/>
          </w:tcPr>
          <w:p>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cs="Times New Roman"/>
                <w:kern w:val="0"/>
                <w:sz w:val="21"/>
                <w:szCs w:val="21"/>
              </w:rPr>
            </w:pPr>
            <w:r>
              <w:rPr>
                <w:rFonts w:hint="default" w:ascii="Times New Roman" w:hAnsi="Times New Roman" w:cs="Times New Roman"/>
                <w:sz w:val="21"/>
                <w:szCs w:val="21"/>
              </w:rPr>
              <w:t>本法所称特种设备，是指对人身和财产安全有较大危险性的锅炉、压力容器（含气瓶）、压力管道、电梯、起重机械、客运索道、大型游乐设施、场（厂）内专用机动</w:t>
            </w:r>
            <w:r>
              <w:rPr>
                <w:rFonts w:hint="default" w:ascii="Times New Roman" w:hAnsi="Times New Roman" w:cs="Times New Roman"/>
              </w:rPr>
              <w:fldChar w:fldCharType="begin"/>
            </w:r>
            <w:r>
              <w:rPr>
                <w:rFonts w:hint="default" w:ascii="Times New Roman" w:hAnsi="Times New Roman" w:cs="Times New Roman"/>
              </w:rPr>
              <w:instrText xml:space="preserve"> HYPERLINK "http://baike.so.com/doc/5916254-6129167.html" \t "_blank" </w:instrText>
            </w:r>
            <w:r>
              <w:rPr>
                <w:rFonts w:hint="default" w:ascii="Times New Roman" w:hAnsi="Times New Roman" w:cs="Times New Roman"/>
              </w:rPr>
              <w:fldChar w:fldCharType="separate"/>
            </w:r>
            <w:r>
              <w:rPr>
                <w:rFonts w:hint="default" w:ascii="Times New Roman" w:hAnsi="Times New Roman" w:cs="Times New Roman"/>
                <w:sz w:val="21"/>
                <w:szCs w:val="21"/>
              </w:rPr>
              <w:t>车辆</w:t>
            </w:r>
            <w:r>
              <w:rPr>
                <w:rFonts w:hint="default" w:ascii="Times New Roman" w:hAnsi="Times New Roman" w:cs="Times New Roman"/>
                <w:sz w:val="21"/>
                <w:szCs w:val="21"/>
              </w:rPr>
              <w:fldChar w:fldCharType="end"/>
            </w:r>
            <w:r>
              <w:rPr>
                <w:rFonts w:hint="default" w:ascii="Times New Roman" w:hAnsi="Times New Roman" w:cs="Times New Roman"/>
                <w:sz w:val="21"/>
                <w:szCs w:val="21"/>
              </w:rPr>
              <w:t>，以及法律、</w:t>
            </w:r>
            <w:r>
              <w:rPr>
                <w:rFonts w:hint="default" w:ascii="Times New Roman" w:hAnsi="Times New Roman" w:cs="Times New Roman"/>
              </w:rPr>
              <w:fldChar w:fldCharType="begin"/>
            </w:r>
            <w:r>
              <w:rPr>
                <w:rFonts w:hint="default" w:ascii="Times New Roman" w:hAnsi="Times New Roman" w:cs="Times New Roman"/>
              </w:rPr>
              <w:instrText xml:space="preserve"> HYPERLINK "http://baike.so.com/doc/5417811-5655961.html" \t "_blank" </w:instrText>
            </w:r>
            <w:r>
              <w:rPr>
                <w:rFonts w:hint="default" w:ascii="Times New Roman" w:hAnsi="Times New Roman" w:cs="Times New Roman"/>
              </w:rPr>
              <w:fldChar w:fldCharType="separate"/>
            </w:r>
            <w:r>
              <w:rPr>
                <w:rFonts w:hint="default" w:ascii="Times New Roman" w:hAnsi="Times New Roman" w:cs="Times New Roman"/>
                <w:sz w:val="21"/>
                <w:szCs w:val="21"/>
              </w:rPr>
              <w:t>行政法规</w:t>
            </w:r>
            <w:r>
              <w:rPr>
                <w:rFonts w:hint="default" w:ascii="Times New Roman" w:hAnsi="Times New Roman" w:cs="Times New Roman"/>
                <w:sz w:val="21"/>
                <w:szCs w:val="21"/>
              </w:rPr>
              <w:fldChar w:fldCharType="end"/>
            </w:r>
            <w:r>
              <w:rPr>
                <w:rFonts w:hint="default" w:ascii="Times New Roman" w:hAnsi="Times New Roman" w:cs="Times New Roman"/>
                <w:sz w:val="21"/>
                <w:szCs w:val="21"/>
              </w:rPr>
              <w:t>规定适用本法的其他特种设备。</w:t>
            </w:r>
          </w:p>
        </w:tc>
        <w:tc>
          <w:tcPr>
            <w:tcW w:w="1163" w:type="pct"/>
            <w:tcBorders>
              <w:left w:val="nil"/>
            </w:tcBorders>
            <w:vAlign w:val="center"/>
          </w:tcPr>
          <w:p>
            <w:pPr>
              <w:keepNext w:val="0"/>
              <w:keepLines w:val="0"/>
              <w:pageBreakBefore w:val="0"/>
              <w:tabs>
                <w:tab w:val="left" w:pos="720"/>
              </w:tabs>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"http://baike.so.com/doc/1279856.html" \t "_blank" </w:instrText>
            </w:r>
            <w:r>
              <w:rPr>
                <w:rFonts w:hint="default" w:ascii="Times New Roman" w:hAnsi="Times New Roman" w:cs="Times New Roman"/>
              </w:rPr>
              <w:fldChar w:fldCharType="separate"/>
            </w:r>
            <w:r>
              <w:rPr>
                <w:rFonts w:hint="default" w:ascii="Times New Roman" w:hAnsi="Times New Roman" w:cs="Times New Roman"/>
                <w:sz w:val="21"/>
                <w:szCs w:val="21"/>
              </w:rPr>
              <w:t>中华人民共和国</w:t>
            </w:r>
            <w:r>
              <w:rPr>
                <w:rFonts w:hint="default" w:ascii="Times New Roman" w:hAnsi="Times New Roman" w:cs="Times New Roman"/>
                <w:sz w:val="21"/>
                <w:szCs w:val="21"/>
              </w:rPr>
              <w:fldChar w:fldCharType="end"/>
            </w:r>
            <w:r>
              <w:rPr>
                <w:rFonts w:hint="default" w:ascii="Times New Roman" w:hAnsi="Times New Roman" w:cs="Times New Roman"/>
                <w:sz w:val="21"/>
                <w:szCs w:val="21"/>
              </w:rPr>
              <w:t>特种设备安全法》主席令2013年第4号</w:t>
            </w:r>
          </w:p>
          <w:p>
            <w:pPr>
              <w:keepNext w:val="0"/>
              <w:keepLines w:val="0"/>
              <w:pageBreakBefore w:val="0"/>
              <w:tabs>
                <w:tab w:val="left" w:pos="720"/>
              </w:tabs>
              <w:kinsoku/>
              <w:wordWrap/>
              <w:overflowPunct/>
              <w:topLinePunct w:val="0"/>
              <w:autoSpaceDE/>
              <w:autoSpaceDN/>
              <w:bidi w:val="0"/>
              <w:spacing w:line="34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sz w:val="21"/>
                <w:szCs w:val="21"/>
              </w:rPr>
              <w:t>第二条</w:t>
            </w:r>
          </w:p>
        </w:tc>
        <w:tc>
          <w:tcPr>
            <w:tcW w:w="871" w:type="pct"/>
            <w:tcBorders>
              <w:left w:val="nil"/>
            </w:tcBorders>
            <w:vAlign w:val="center"/>
          </w:tcPr>
          <w:p>
            <w:pPr>
              <w:keepNext w:val="0"/>
              <w:keepLines w:val="0"/>
              <w:pageBreakBefore w:val="0"/>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黑体" w:cs="Times New Roman"/>
                <w:b/>
                <w:bCs/>
                <w:sz w:val="21"/>
                <w:szCs w:val="21"/>
              </w:rPr>
            </w:pPr>
            <w:r>
              <w:rPr>
                <w:rFonts w:hint="default" w:ascii="Times New Roman" w:hAnsi="Times New Roman" w:cs="Times New Roman"/>
                <w:kern w:val="0"/>
                <w:sz w:val="21"/>
                <w:szCs w:val="21"/>
              </w:rPr>
              <w:t>属于特种设备的有：压力容器、叉车等。</w:t>
            </w:r>
          </w:p>
        </w:tc>
        <w:tc>
          <w:tcPr>
            <w:tcW w:w="384" w:type="pct"/>
            <w:tcBorders>
              <w:left w:val="nil"/>
            </w:tcBorders>
            <w:vAlign w:val="center"/>
          </w:tcPr>
          <w:p>
            <w:pPr>
              <w:keepNext w:val="0"/>
              <w:keepLines w:val="0"/>
              <w:pageBreakBefore w:val="0"/>
              <w:tabs>
                <w:tab w:val="left" w:pos="720"/>
              </w:tabs>
              <w:kinsoku/>
              <w:wordWrap/>
              <w:overflowPunct/>
              <w:topLinePunct w:val="0"/>
              <w:autoSpaceDE/>
              <w:autoSpaceDN/>
              <w:bidi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numPr>
                <w:ilvl w:val="0"/>
                <w:numId w:val="32"/>
              </w:numPr>
              <w:kinsoku/>
              <w:wordWrap/>
              <w:overflowPunct/>
              <w:topLinePunct w:val="0"/>
              <w:autoSpaceDE/>
              <w:autoSpaceDN/>
              <w:bidi w:val="0"/>
              <w:spacing w:line="340" w:lineRule="exact"/>
              <w:textAlignment w:val="auto"/>
              <w:rPr>
                <w:rFonts w:hint="default" w:ascii="Times New Roman" w:hAnsi="Times New Roman" w:cs="Times New Roman"/>
                <w:sz w:val="21"/>
                <w:szCs w:val="21"/>
              </w:rPr>
            </w:pPr>
          </w:p>
        </w:tc>
        <w:tc>
          <w:tcPr>
            <w:tcW w:w="2354" w:type="pct"/>
            <w:tcBorders>
              <w:left w:val="nil"/>
            </w:tcBorders>
            <w:vAlign w:val="center"/>
          </w:tcPr>
          <w:p>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cs="Times New Roman"/>
                <w:kern w:val="0"/>
                <w:sz w:val="21"/>
                <w:szCs w:val="21"/>
              </w:rPr>
            </w:pPr>
            <w:r>
              <w:rPr>
                <w:rFonts w:hint="default" w:ascii="Times New Roman" w:hAnsi="Times New Roman" w:cs="Times New Roman"/>
                <w:sz w:val="21"/>
                <w:szCs w:val="21"/>
                <w:shd w:val="clear" w:color="auto" w:fill="FFFFFF"/>
              </w:rPr>
              <w:t>特种设备生产、经营、使用单位应当遵守本法和其他有关法律、法规，建立、健全特种设备安全和节能责任制度，加强特种设备安全和节能管理，确保特种设备生产、经营、使用安全，符合节能要求。</w:t>
            </w:r>
          </w:p>
        </w:tc>
        <w:tc>
          <w:tcPr>
            <w:tcW w:w="1163" w:type="pct"/>
            <w:tcBorders>
              <w:left w:val="nil"/>
            </w:tcBorders>
            <w:vAlign w:val="center"/>
          </w:tcPr>
          <w:p>
            <w:pPr>
              <w:keepNext w:val="0"/>
              <w:keepLines w:val="0"/>
              <w:pageBreakBefore w:val="0"/>
              <w:tabs>
                <w:tab w:val="left" w:pos="720"/>
              </w:tabs>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"http://baike.so.com/doc/1279856.html" \t "_blank" </w:instrText>
            </w:r>
            <w:r>
              <w:rPr>
                <w:rFonts w:hint="default" w:ascii="Times New Roman" w:hAnsi="Times New Roman" w:cs="Times New Roman"/>
              </w:rPr>
              <w:fldChar w:fldCharType="separate"/>
            </w:r>
            <w:r>
              <w:rPr>
                <w:rFonts w:hint="default" w:ascii="Times New Roman" w:hAnsi="Times New Roman" w:cs="Times New Roman"/>
                <w:sz w:val="21"/>
                <w:szCs w:val="21"/>
              </w:rPr>
              <w:t>中华人民共和国</w:t>
            </w:r>
            <w:r>
              <w:rPr>
                <w:rFonts w:hint="default" w:ascii="Times New Roman" w:hAnsi="Times New Roman" w:cs="Times New Roman"/>
                <w:sz w:val="21"/>
                <w:szCs w:val="21"/>
              </w:rPr>
              <w:fldChar w:fldCharType="end"/>
            </w:r>
            <w:r>
              <w:rPr>
                <w:rFonts w:hint="default" w:ascii="Times New Roman" w:hAnsi="Times New Roman" w:cs="Times New Roman"/>
                <w:sz w:val="21"/>
                <w:szCs w:val="21"/>
              </w:rPr>
              <w:t>特种设备安全法》主席令2013年第4号</w:t>
            </w:r>
          </w:p>
          <w:p>
            <w:pPr>
              <w:keepNext w:val="0"/>
              <w:keepLines w:val="0"/>
              <w:pageBreakBefore w:val="0"/>
              <w:tabs>
                <w:tab w:val="left" w:pos="720"/>
              </w:tabs>
              <w:kinsoku/>
              <w:wordWrap/>
              <w:overflowPunct/>
              <w:topLinePunct w:val="0"/>
              <w:autoSpaceDE/>
              <w:autoSpaceDN/>
              <w:bidi w:val="0"/>
              <w:spacing w:line="34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sz w:val="21"/>
                <w:szCs w:val="21"/>
              </w:rPr>
              <w:t>第七条</w:t>
            </w:r>
          </w:p>
        </w:tc>
        <w:tc>
          <w:tcPr>
            <w:tcW w:w="871"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制定了特种设备安全管理制度。</w:t>
            </w:r>
          </w:p>
        </w:tc>
        <w:tc>
          <w:tcPr>
            <w:tcW w:w="384"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numPr>
                <w:ilvl w:val="0"/>
                <w:numId w:val="32"/>
              </w:numPr>
              <w:kinsoku/>
              <w:wordWrap/>
              <w:overflowPunct/>
              <w:topLinePunct w:val="0"/>
              <w:autoSpaceDE/>
              <w:autoSpaceDN/>
              <w:bidi w:val="0"/>
              <w:spacing w:line="340" w:lineRule="exact"/>
              <w:textAlignment w:val="auto"/>
              <w:rPr>
                <w:rFonts w:hint="default" w:ascii="Times New Roman" w:hAnsi="Times New Roman" w:cs="Times New Roman"/>
                <w:sz w:val="21"/>
                <w:szCs w:val="21"/>
              </w:rPr>
            </w:pPr>
          </w:p>
        </w:tc>
        <w:tc>
          <w:tcPr>
            <w:tcW w:w="2354" w:type="pct"/>
            <w:tcBorders>
              <w:left w:val="nil"/>
            </w:tcBorders>
          </w:tcPr>
          <w:p>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特种设备生产、经营、使用单位及其主要负责人对其生产、经营、使用的特种设备安全负责。</w:t>
            </w:r>
          </w:p>
          <w:p>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特种设备生产、经营、使用单位应当按照国家有关规定配备特种设备安全管理人员、检测人员和作业人员，并对其进行必要的安全教育和技能培训。</w:t>
            </w:r>
          </w:p>
        </w:tc>
        <w:tc>
          <w:tcPr>
            <w:tcW w:w="1163" w:type="pct"/>
            <w:tcBorders>
              <w:left w:val="nil"/>
            </w:tcBorders>
            <w:vAlign w:val="center"/>
          </w:tcPr>
          <w:p>
            <w:pPr>
              <w:keepNext w:val="0"/>
              <w:keepLines w:val="0"/>
              <w:pageBreakBefore w:val="0"/>
              <w:tabs>
                <w:tab w:val="left" w:pos="720"/>
              </w:tabs>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《中华人民共和国特种设备安全法》主席令2013年第4号</w:t>
            </w:r>
          </w:p>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第十三条</w:t>
            </w:r>
          </w:p>
        </w:tc>
        <w:tc>
          <w:tcPr>
            <w:tcW w:w="871"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人员已培训取证。</w:t>
            </w:r>
          </w:p>
        </w:tc>
        <w:tc>
          <w:tcPr>
            <w:tcW w:w="384"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numPr>
                <w:ilvl w:val="0"/>
                <w:numId w:val="32"/>
              </w:numPr>
              <w:kinsoku/>
              <w:wordWrap/>
              <w:overflowPunct/>
              <w:topLinePunct w:val="0"/>
              <w:autoSpaceDE/>
              <w:autoSpaceDN/>
              <w:bidi w:val="0"/>
              <w:spacing w:line="340" w:lineRule="exact"/>
              <w:textAlignment w:val="auto"/>
              <w:rPr>
                <w:rFonts w:hint="default" w:ascii="Times New Roman" w:hAnsi="Times New Roman" w:cs="Times New Roman"/>
                <w:sz w:val="21"/>
                <w:szCs w:val="21"/>
              </w:rPr>
            </w:pPr>
          </w:p>
        </w:tc>
        <w:tc>
          <w:tcPr>
            <w:tcW w:w="2354" w:type="pct"/>
            <w:tcBorders>
              <w:left w:val="nil"/>
            </w:tcBorders>
          </w:tcPr>
          <w:p>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特种设备生产、经营、使用单位对其生产、经营、使用的特种设备应当进行自行检测和维护保养，对国家规定实行检验的特种设备应当及时申报并接受检验。</w:t>
            </w:r>
          </w:p>
        </w:tc>
        <w:tc>
          <w:tcPr>
            <w:tcW w:w="1163" w:type="pct"/>
            <w:tcBorders>
              <w:left w:val="nil"/>
            </w:tcBorders>
            <w:vAlign w:val="center"/>
          </w:tcPr>
          <w:p>
            <w:pPr>
              <w:keepNext w:val="0"/>
              <w:keepLines w:val="0"/>
              <w:pageBreakBefore w:val="0"/>
              <w:tabs>
                <w:tab w:val="left" w:pos="720"/>
              </w:tabs>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《中华人民共和国特种设备安全法》主席令2013年第4号</w:t>
            </w:r>
          </w:p>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第十五条</w:t>
            </w:r>
          </w:p>
        </w:tc>
        <w:tc>
          <w:tcPr>
            <w:tcW w:w="871"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特种设备已定期检测。</w:t>
            </w:r>
          </w:p>
        </w:tc>
        <w:tc>
          <w:tcPr>
            <w:tcW w:w="384"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numPr>
                <w:ilvl w:val="0"/>
                <w:numId w:val="32"/>
              </w:numPr>
              <w:kinsoku/>
              <w:wordWrap/>
              <w:overflowPunct/>
              <w:topLinePunct w:val="0"/>
              <w:autoSpaceDE/>
              <w:autoSpaceDN/>
              <w:bidi w:val="0"/>
              <w:spacing w:line="340" w:lineRule="exact"/>
              <w:textAlignment w:val="auto"/>
              <w:rPr>
                <w:rFonts w:hint="default" w:ascii="Times New Roman" w:hAnsi="Times New Roman" w:cs="Times New Roman"/>
                <w:sz w:val="21"/>
                <w:szCs w:val="21"/>
              </w:rPr>
            </w:pPr>
          </w:p>
        </w:tc>
        <w:tc>
          <w:tcPr>
            <w:tcW w:w="2354" w:type="pct"/>
            <w:tcBorders>
              <w:left w:val="nil"/>
            </w:tcBorders>
            <w:vAlign w:val="center"/>
          </w:tcPr>
          <w:p>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cs="Times New Roman"/>
                <w:kern w:val="0"/>
                <w:sz w:val="21"/>
                <w:szCs w:val="21"/>
              </w:rPr>
            </w:pPr>
            <w:r>
              <w:rPr>
                <w:rFonts w:hint="default" w:ascii="Times New Roman" w:hAnsi="Times New Roman" w:cs="Times New Roman"/>
                <w:sz w:val="21"/>
                <w:szCs w:val="21"/>
                <w:shd w:val="clear" w:color="auto" w:fill="FFFFFF"/>
              </w:rPr>
              <w:t>特种设备安装、改造、修理竣工后，安装、改造、修理的施工单位应当在验收后三十日内将相关技术资料和文件移交特种设备使用单位。特种设备使用单位应当将其存入该特种设备的安全技术档案。</w:t>
            </w:r>
          </w:p>
        </w:tc>
        <w:tc>
          <w:tcPr>
            <w:tcW w:w="1163" w:type="pct"/>
            <w:tcBorders>
              <w:left w:val="nil"/>
            </w:tcBorders>
            <w:vAlign w:val="center"/>
          </w:tcPr>
          <w:p>
            <w:pPr>
              <w:keepNext w:val="0"/>
              <w:keepLines w:val="0"/>
              <w:pageBreakBefore w:val="0"/>
              <w:tabs>
                <w:tab w:val="left" w:pos="720"/>
              </w:tabs>
              <w:kinsoku/>
              <w:wordWrap/>
              <w:overflowPunct/>
              <w:topLinePunct w:val="0"/>
              <w:autoSpaceDE/>
              <w:autoSpaceDN/>
              <w:bidi w:val="0"/>
              <w:spacing w:line="34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sz w:val="21"/>
                <w:szCs w:val="21"/>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"http://baike.so.com/doc/1279856.html" \t "_blank" </w:instrText>
            </w:r>
            <w:r>
              <w:rPr>
                <w:rFonts w:hint="default" w:ascii="Times New Roman" w:hAnsi="Times New Roman" w:cs="Times New Roman"/>
              </w:rPr>
              <w:fldChar w:fldCharType="separate"/>
            </w:r>
            <w:r>
              <w:rPr>
                <w:rFonts w:hint="default" w:ascii="Times New Roman" w:hAnsi="Times New Roman" w:cs="Times New Roman"/>
                <w:sz w:val="21"/>
                <w:szCs w:val="21"/>
              </w:rPr>
              <w:t>中华人民共和国</w:t>
            </w:r>
            <w:r>
              <w:rPr>
                <w:rFonts w:hint="default" w:ascii="Times New Roman" w:hAnsi="Times New Roman" w:cs="Times New Roman"/>
                <w:sz w:val="21"/>
                <w:szCs w:val="21"/>
              </w:rPr>
              <w:fldChar w:fldCharType="end"/>
            </w:r>
            <w:r>
              <w:rPr>
                <w:rFonts w:hint="default" w:ascii="Times New Roman" w:hAnsi="Times New Roman" w:cs="Times New Roman"/>
                <w:sz w:val="21"/>
                <w:szCs w:val="21"/>
              </w:rPr>
              <w:t>特种设备安全法》主席令2013年第4号第二十四条</w:t>
            </w:r>
          </w:p>
        </w:tc>
        <w:tc>
          <w:tcPr>
            <w:tcW w:w="871"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存入技术档案。</w:t>
            </w:r>
          </w:p>
        </w:tc>
        <w:tc>
          <w:tcPr>
            <w:tcW w:w="384"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widowControl w:val="0"/>
              <w:numPr>
                <w:ilvl w:val="0"/>
                <w:numId w:val="32"/>
              </w:numPr>
              <w:kinsoku/>
              <w:wordWrap/>
              <w:overflowPunct/>
              <w:topLinePunct w:val="0"/>
              <w:autoSpaceDE/>
              <w:autoSpaceDN/>
              <w:bidi w:val="0"/>
              <w:adjustRightInd/>
              <w:snapToGrid/>
              <w:spacing w:line="340" w:lineRule="exact"/>
              <w:textAlignment w:val="auto"/>
              <w:rPr>
                <w:rFonts w:hint="default" w:ascii="Times New Roman" w:hAnsi="Times New Roman" w:cs="Times New Roman"/>
                <w:sz w:val="21"/>
                <w:szCs w:val="21"/>
              </w:rPr>
            </w:pPr>
          </w:p>
        </w:tc>
        <w:tc>
          <w:tcPr>
            <w:tcW w:w="2354" w:type="pct"/>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spacing w:val="-4"/>
                <w:kern w:val="0"/>
                <w:sz w:val="21"/>
                <w:szCs w:val="21"/>
              </w:rPr>
            </w:pPr>
            <w:r>
              <w:rPr>
                <w:rFonts w:hint="default" w:ascii="Times New Roman" w:hAnsi="Times New Roman" w:cs="Times New Roman"/>
                <w:spacing w:val="-4"/>
                <w:sz w:val="21"/>
                <w:szCs w:val="21"/>
                <w:shd w:val="clear" w:color="auto" w:fill="FFFFFF"/>
              </w:rPr>
              <w:t>锅炉、压力容器、压力管道元件等特种设备的制造过程和锅炉、压力容器、压力管道、电梯、起重机械、客运索道、大型游乐设施的安装、改造、重大修理过程，应当经特种设备检验机构按照安全技术规范的要求进行监督检验；未经监督检验或者监督检验不合格的，不得出厂或者交付使用。</w:t>
            </w:r>
          </w:p>
        </w:tc>
        <w:tc>
          <w:tcPr>
            <w:tcW w:w="1163" w:type="pct"/>
            <w:tcBorders>
              <w:left w:val="nil"/>
            </w:tcBorders>
            <w:vAlign w:val="center"/>
          </w:tcPr>
          <w:p>
            <w:pPr>
              <w:keepNext w:val="0"/>
              <w:keepLines w:val="0"/>
              <w:pageBreakBefore w:val="0"/>
              <w:widowControl w:val="0"/>
              <w:tabs>
                <w:tab w:val="left" w:pos="720"/>
              </w:tabs>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sz w:val="21"/>
                <w:szCs w:val="21"/>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"http://baike.so.com/doc/1279856.html" \t "_blank" </w:instrText>
            </w:r>
            <w:r>
              <w:rPr>
                <w:rFonts w:hint="default" w:ascii="Times New Roman" w:hAnsi="Times New Roman" w:cs="Times New Roman"/>
              </w:rPr>
              <w:fldChar w:fldCharType="separate"/>
            </w:r>
            <w:r>
              <w:rPr>
                <w:rFonts w:hint="default" w:ascii="Times New Roman" w:hAnsi="Times New Roman" w:cs="Times New Roman"/>
                <w:sz w:val="21"/>
                <w:szCs w:val="21"/>
              </w:rPr>
              <w:t>中华人民共和国</w:t>
            </w:r>
            <w:r>
              <w:rPr>
                <w:rFonts w:hint="default" w:ascii="Times New Roman" w:hAnsi="Times New Roman" w:cs="Times New Roman"/>
                <w:sz w:val="21"/>
                <w:szCs w:val="21"/>
              </w:rPr>
              <w:fldChar w:fldCharType="end"/>
            </w:r>
            <w:r>
              <w:rPr>
                <w:rFonts w:hint="default" w:ascii="Times New Roman" w:hAnsi="Times New Roman" w:cs="Times New Roman"/>
                <w:sz w:val="21"/>
                <w:szCs w:val="21"/>
              </w:rPr>
              <w:t>特种设备安全法》主席令2013年第4号第二十五条</w:t>
            </w:r>
          </w:p>
        </w:tc>
        <w:tc>
          <w:tcPr>
            <w:tcW w:w="871" w:type="pct"/>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经检测合格。</w:t>
            </w:r>
          </w:p>
        </w:tc>
        <w:tc>
          <w:tcPr>
            <w:tcW w:w="384" w:type="pct"/>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numPr>
                <w:ilvl w:val="0"/>
                <w:numId w:val="32"/>
              </w:numPr>
              <w:kinsoku/>
              <w:wordWrap/>
              <w:overflowPunct/>
              <w:topLinePunct w:val="0"/>
              <w:autoSpaceDE/>
              <w:autoSpaceDN/>
              <w:bidi w:val="0"/>
              <w:spacing w:line="340" w:lineRule="exact"/>
              <w:textAlignment w:val="auto"/>
              <w:rPr>
                <w:rFonts w:hint="default" w:ascii="Times New Roman" w:hAnsi="Times New Roman" w:cs="Times New Roman"/>
                <w:sz w:val="21"/>
                <w:szCs w:val="21"/>
              </w:rPr>
            </w:pPr>
          </w:p>
        </w:tc>
        <w:tc>
          <w:tcPr>
            <w:tcW w:w="2354" w:type="pct"/>
            <w:tcBorders>
              <w:left w:val="nil"/>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使用单位应当近照规定在压力容器投入使用前或者投入使用后30日内，向所在地负责特种设备使用登记的部门申请办理《特种设备使用登记证》。</w:t>
            </w:r>
          </w:p>
        </w:tc>
        <w:tc>
          <w:tcPr>
            <w:tcW w:w="1163" w:type="pct"/>
            <w:tcBorders>
              <w:left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《固定式压力容器安全技术监察规程》(TSG R21-2016)</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第7.1.2使用登记</w:t>
            </w:r>
          </w:p>
        </w:tc>
        <w:tc>
          <w:tcPr>
            <w:tcW w:w="871" w:type="pct"/>
            <w:tcBorders>
              <w:left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已办理登记证。</w:t>
            </w:r>
          </w:p>
        </w:tc>
        <w:tc>
          <w:tcPr>
            <w:tcW w:w="384" w:type="pct"/>
            <w:tcBorders>
              <w:left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numPr>
                <w:ilvl w:val="0"/>
                <w:numId w:val="32"/>
              </w:numPr>
              <w:kinsoku/>
              <w:wordWrap/>
              <w:overflowPunct/>
              <w:topLinePunct w:val="0"/>
              <w:autoSpaceDE/>
              <w:autoSpaceDN/>
              <w:bidi w:val="0"/>
              <w:spacing w:line="340" w:lineRule="exact"/>
              <w:textAlignment w:val="auto"/>
              <w:rPr>
                <w:rFonts w:hint="default" w:ascii="Times New Roman" w:hAnsi="Times New Roman" w:cs="Times New Roman"/>
                <w:sz w:val="21"/>
                <w:szCs w:val="21"/>
              </w:rPr>
            </w:pPr>
          </w:p>
        </w:tc>
        <w:tc>
          <w:tcPr>
            <w:tcW w:w="2354" w:type="pct"/>
            <w:tcBorders>
              <w:left w:val="nil"/>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压力容器的使用单位，应当在工艺操作规程和岗位操作规程中，明确提出压力容器安全操作要求。操作规程至少包括以下内容：</w:t>
            </w:r>
          </w:p>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（1）操作工艺参数（含工作压力、最高或者最低工作温度）；</w:t>
            </w:r>
          </w:p>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（2）岗位操作方法（含开、停车的操作程序和注意事项）；</w:t>
            </w:r>
          </w:p>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（3）运行中重点检查的项目和部位，运行中可能出现的异常现象和防止措施以及紧急情况的处置和报告程序。</w:t>
            </w:r>
          </w:p>
        </w:tc>
        <w:tc>
          <w:tcPr>
            <w:tcW w:w="1163" w:type="pct"/>
            <w:tcBorders>
              <w:left w:val="nil"/>
            </w:tcBorders>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sz w:val="21"/>
                <w:szCs w:val="21"/>
              </w:rPr>
              <w:t>《</w:t>
            </w:r>
            <w:r>
              <w:rPr>
                <w:rFonts w:hint="default" w:ascii="Times New Roman" w:hAnsi="Times New Roman" w:cs="Times New Roman"/>
                <w:kern w:val="0"/>
                <w:sz w:val="21"/>
                <w:szCs w:val="21"/>
              </w:rPr>
              <w:t>固定式压力容器安全技术监察规程</w:t>
            </w:r>
            <w:r>
              <w:rPr>
                <w:rFonts w:hint="default" w:ascii="Times New Roman" w:hAnsi="Times New Roman" w:cs="Times New Roman"/>
                <w:sz w:val="21"/>
                <w:szCs w:val="21"/>
              </w:rPr>
              <w:t>》</w:t>
            </w:r>
            <w:r>
              <w:rPr>
                <w:rFonts w:hint="default" w:ascii="Times New Roman" w:hAnsi="Times New Roman" w:cs="Times New Roman"/>
                <w:kern w:val="0"/>
                <w:sz w:val="21"/>
                <w:szCs w:val="21"/>
              </w:rPr>
              <w:t>TSG21-2016</w:t>
            </w:r>
          </w:p>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第7.1.3条</w:t>
            </w:r>
          </w:p>
        </w:tc>
        <w:tc>
          <w:tcPr>
            <w:tcW w:w="871" w:type="pct"/>
            <w:tcBorders>
              <w:left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操作规程中按要求设置。</w:t>
            </w:r>
          </w:p>
        </w:tc>
        <w:tc>
          <w:tcPr>
            <w:tcW w:w="384" w:type="pct"/>
            <w:tcBorders>
              <w:left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numPr>
                <w:ilvl w:val="0"/>
                <w:numId w:val="32"/>
              </w:numPr>
              <w:kinsoku/>
              <w:wordWrap/>
              <w:overflowPunct/>
              <w:topLinePunct w:val="0"/>
              <w:autoSpaceDE/>
              <w:autoSpaceDN/>
              <w:bidi w:val="0"/>
              <w:spacing w:line="340" w:lineRule="exact"/>
              <w:textAlignment w:val="auto"/>
              <w:rPr>
                <w:rFonts w:hint="default" w:ascii="Times New Roman" w:hAnsi="Times New Roman" w:cs="Times New Roman"/>
                <w:sz w:val="21"/>
                <w:szCs w:val="21"/>
              </w:rPr>
            </w:pPr>
          </w:p>
        </w:tc>
        <w:tc>
          <w:tcPr>
            <w:tcW w:w="2354" w:type="pct"/>
            <w:tcBorders>
              <w:left w:val="nil"/>
            </w:tcBorders>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使用单位应当建立压力容器装置巡检制度，并且对压力容器本体及其安全附件、装卸附件、安全保护装置、测量调控装置、附属仪器仪表进行经常性维护保养。对发现的异常及时处理并且记录，保证在用压力容器始终处于正常使用状态。</w:t>
            </w:r>
          </w:p>
        </w:tc>
        <w:tc>
          <w:tcPr>
            <w:tcW w:w="1163" w:type="pct"/>
            <w:tcBorders>
              <w:left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《固定式压力容器安全技术监察规程》TSG R21-2016</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第7.1.4条</w:t>
            </w:r>
          </w:p>
        </w:tc>
        <w:tc>
          <w:tcPr>
            <w:tcW w:w="871" w:type="pct"/>
            <w:tcBorders>
              <w:left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企业己制定有相关的安全管理制度。</w:t>
            </w:r>
          </w:p>
        </w:tc>
        <w:tc>
          <w:tcPr>
            <w:tcW w:w="384" w:type="pct"/>
            <w:tcBorders>
              <w:left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numPr>
                <w:ilvl w:val="0"/>
                <w:numId w:val="32"/>
              </w:numPr>
              <w:kinsoku/>
              <w:wordWrap/>
              <w:overflowPunct/>
              <w:topLinePunct w:val="0"/>
              <w:autoSpaceDE/>
              <w:autoSpaceDN/>
              <w:bidi w:val="0"/>
              <w:spacing w:line="340" w:lineRule="exact"/>
              <w:textAlignment w:val="auto"/>
              <w:rPr>
                <w:rFonts w:hint="default" w:ascii="Times New Roman" w:hAnsi="Times New Roman" w:cs="Times New Roman"/>
                <w:sz w:val="21"/>
                <w:szCs w:val="21"/>
              </w:rPr>
            </w:pPr>
          </w:p>
        </w:tc>
        <w:tc>
          <w:tcPr>
            <w:tcW w:w="2354" w:type="pct"/>
            <w:tcBorders>
              <w:left w:val="nil"/>
            </w:tcBorders>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压力容器的自行检查，包括月度检查、年度检查。</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7.1.5.1使用单位每月对所使用的压力容器至少进行1次月度检查，并且应当记录检查情况；当年度检查与月度检查时间重合时，可不再进行月度检查。月度检查内容主要为压力容器本体及其安全附件、装卸附件、安全保护装置、测量调控装置、附属仪器仪表是否完好，各密封面有无泄漏，以及其他异常情况等。</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7.1.5.2使用单位每年对所使用的压力容器至少进行1次年度检查，年度检查按照本规程</w:t>
            </w:r>
          </w:p>
        </w:tc>
        <w:tc>
          <w:tcPr>
            <w:tcW w:w="1163" w:type="pct"/>
            <w:tcBorders>
              <w:left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《固定式压力容器安全技术监察规程》TSG R21-2016</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第7.1.5条</w:t>
            </w:r>
          </w:p>
        </w:tc>
        <w:tc>
          <w:tcPr>
            <w:tcW w:w="871" w:type="pct"/>
            <w:tcBorders>
              <w:left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企业己制定有相关的安全管理制度。</w:t>
            </w:r>
          </w:p>
        </w:tc>
        <w:tc>
          <w:tcPr>
            <w:tcW w:w="384" w:type="pct"/>
            <w:tcBorders>
              <w:left w:val="nil"/>
            </w:tcBorders>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numPr>
                <w:ilvl w:val="0"/>
                <w:numId w:val="32"/>
              </w:numPr>
              <w:kinsoku/>
              <w:wordWrap/>
              <w:overflowPunct/>
              <w:topLinePunct w:val="0"/>
              <w:autoSpaceDE/>
              <w:autoSpaceDN/>
              <w:bidi w:val="0"/>
              <w:spacing w:line="340" w:lineRule="exact"/>
              <w:textAlignment w:val="auto"/>
              <w:rPr>
                <w:rFonts w:hint="default" w:ascii="Times New Roman" w:hAnsi="Times New Roman" w:cs="Times New Roman"/>
                <w:sz w:val="21"/>
                <w:szCs w:val="21"/>
              </w:rPr>
            </w:pPr>
          </w:p>
        </w:tc>
        <w:tc>
          <w:tcPr>
            <w:tcW w:w="2354" w:type="pct"/>
            <w:tcBorders>
              <w:left w:val="nil"/>
            </w:tcBorders>
            <w:vAlign w:val="center"/>
          </w:tcPr>
          <w:p>
            <w:pPr>
              <w:keepNext w:val="0"/>
              <w:keepLines w:val="0"/>
              <w:pageBreakBefore w:val="0"/>
              <w:kinsoku/>
              <w:wordWrap/>
              <w:overflowPunct/>
              <w:topLinePunct w:val="0"/>
              <w:autoSpaceDE/>
              <w:autoSpaceDN/>
              <w:bidi w:val="0"/>
              <w:snapToGrid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安全阀、爆破片、紧急切断阀等需要型式试验的安全附件，应当经过国家质检总局核准的型式试验机构进行型式试验并且取得型式试验证明文件。</w:t>
            </w:r>
          </w:p>
          <w:p>
            <w:pPr>
              <w:keepNext w:val="0"/>
              <w:keepLines w:val="0"/>
              <w:pageBreakBefore w:val="0"/>
              <w:kinsoku/>
              <w:wordWrap/>
              <w:overflowPunct/>
              <w:topLinePunct w:val="0"/>
              <w:autoSpaceDE/>
              <w:autoSpaceDN/>
              <w:bidi w:val="0"/>
              <w:snapToGrid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安全附件实行定期检验制度，安全附件的定期检验按照本规程与相关安全技术规范的规定进行。</w:t>
            </w:r>
          </w:p>
        </w:tc>
        <w:tc>
          <w:tcPr>
            <w:tcW w:w="1163" w:type="pct"/>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sz w:val="21"/>
                <w:szCs w:val="21"/>
              </w:rPr>
              <w:t>《</w:t>
            </w:r>
            <w:r>
              <w:rPr>
                <w:rFonts w:hint="default" w:ascii="Times New Roman" w:hAnsi="Times New Roman" w:cs="Times New Roman"/>
                <w:kern w:val="0"/>
                <w:sz w:val="21"/>
                <w:szCs w:val="21"/>
              </w:rPr>
              <w:t>固定式压力容器安全技术监察规程</w:t>
            </w:r>
            <w:r>
              <w:rPr>
                <w:rFonts w:hint="default" w:ascii="Times New Roman" w:hAnsi="Times New Roman" w:cs="Times New Roman"/>
                <w:sz w:val="21"/>
                <w:szCs w:val="21"/>
              </w:rPr>
              <w:t>》</w:t>
            </w:r>
            <w:r>
              <w:rPr>
                <w:rFonts w:hint="default" w:ascii="Times New Roman" w:hAnsi="Times New Roman" w:cs="Times New Roman"/>
                <w:kern w:val="0"/>
                <w:sz w:val="21"/>
                <w:szCs w:val="21"/>
              </w:rPr>
              <w:t>TSG21-2016</w:t>
            </w:r>
          </w:p>
          <w:p>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第9.1.1条第（2）（5）</w:t>
            </w:r>
          </w:p>
        </w:tc>
        <w:tc>
          <w:tcPr>
            <w:tcW w:w="871" w:type="pct"/>
            <w:tcBorders>
              <w:left w:val="nil"/>
            </w:tcBorders>
            <w:vAlign w:val="center"/>
          </w:tcPr>
          <w:p>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安全附件均为合格证明的产品，安全等阀</w:t>
            </w:r>
            <w:r>
              <w:rPr>
                <w:rFonts w:hint="eastAsia" w:ascii="Times New Roman" w:hAnsi="Times New Roman" w:cs="Times New Roman"/>
                <w:sz w:val="21"/>
                <w:szCs w:val="21"/>
                <w:lang w:val="en-US" w:eastAsia="zh-CN"/>
              </w:rPr>
              <w:t>附件</w:t>
            </w:r>
            <w:r>
              <w:rPr>
                <w:rFonts w:hint="default" w:ascii="Times New Roman" w:hAnsi="Times New Roman" w:cs="Times New Roman"/>
                <w:sz w:val="21"/>
                <w:szCs w:val="21"/>
              </w:rPr>
              <w:t>定期校验。</w:t>
            </w:r>
          </w:p>
        </w:tc>
        <w:tc>
          <w:tcPr>
            <w:tcW w:w="384"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numPr>
                <w:ilvl w:val="0"/>
                <w:numId w:val="32"/>
              </w:numPr>
              <w:kinsoku/>
              <w:wordWrap/>
              <w:overflowPunct/>
              <w:topLinePunct w:val="0"/>
              <w:autoSpaceDE/>
              <w:autoSpaceDN/>
              <w:bidi w:val="0"/>
              <w:spacing w:line="340" w:lineRule="exact"/>
              <w:textAlignment w:val="auto"/>
              <w:rPr>
                <w:rFonts w:hint="default" w:ascii="Times New Roman" w:hAnsi="Times New Roman" w:cs="Times New Roman"/>
                <w:sz w:val="21"/>
                <w:szCs w:val="21"/>
              </w:rPr>
            </w:pPr>
          </w:p>
        </w:tc>
        <w:tc>
          <w:tcPr>
            <w:tcW w:w="2354" w:type="pct"/>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超压泄放装置的装设要求：</w:t>
            </w:r>
          </w:p>
          <w:p>
            <w:pPr>
              <w:keepNext w:val="0"/>
              <w:keepLines w:val="0"/>
              <w:pageBreakBefore w:val="0"/>
              <w:widowControl/>
              <w:kinsoku/>
              <w:wordWrap/>
              <w:overflowPunct/>
              <w:topLinePunct w:val="0"/>
              <w:autoSpaceDE/>
              <w:autoSpaceDN/>
              <w:bidi w:val="0"/>
              <w:adjustRightInd w:val="0"/>
              <w:snapToGrid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（1）本规程适用范围内的压力容器，应当根据设计要求装设超压泄放装置，压力源来自压力容器外部，并且得到可靠控制时，超压泄放装置可以不直接安装在压力容器上。</w:t>
            </w:r>
          </w:p>
          <w:p>
            <w:pPr>
              <w:keepNext w:val="0"/>
              <w:keepLines w:val="0"/>
              <w:pageBreakBefore w:val="0"/>
              <w:widowControl/>
              <w:kinsoku/>
              <w:wordWrap/>
              <w:overflowPunct/>
              <w:topLinePunct w:val="0"/>
              <w:autoSpaceDE/>
              <w:autoSpaceDN/>
              <w:bidi w:val="0"/>
              <w:adjustRightInd w:val="0"/>
              <w:snapToGrid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（2）采用爆破片装置与安全阀组合结构时，应当符合压力容器产品标准的有关规定，凡串联在组合结构中的爆破片在动作时不允许产生碎片；</w:t>
            </w:r>
          </w:p>
          <w:p>
            <w:pPr>
              <w:keepNext w:val="0"/>
              <w:keepLines w:val="0"/>
              <w:pageBreakBefore w:val="0"/>
              <w:widowControl/>
              <w:kinsoku/>
              <w:wordWrap/>
              <w:overflowPunct/>
              <w:topLinePunct w:val="0"/>
              <w:autoSpaceDE/>
              <w:autoSpaceDN/>
              <w:bidi w:val="0"/>
              <w:adjustRightInd w:val="0"/>
              <w:snapToGrid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（3）易爆介质或者毒性危害程度为极度、高度或者中毒危害介质的压力容器，应当在安全阀或者爆破片的排出口装设导管，将排放介质引至安全地点，并且进行妥善处理，毒性介质不得直接排入大气；</w:t>
            </w:r>
          </w:p>
          <w:p>
            <w:pPr>
              <w:keepNext w:val="0"/>
              <w:keepLines w:val="0"/>
              <w:pageBreakBefore w:val="0"/>
              <w:widowControl/>
              <w:kinsoku/>
              <w:wordWrap/>
              <w:overflowPunct/>
              <w:topLinePunct w:val="0"/>
              <w:autoSpaceDE/>
              <w:autoSpaceDN/>
              <w:bidi w:val="0"/>
              <w:adjustRightInd w:val="0"/>
              <w:snapToGrid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4）压力容器设计压力低于压力源压力时，在通向压力容器进口的管道上应当装设减压阀，如因介质条件减压阀无法保证可靠工作时，可用调节阀代替减压阀，在减压阀或者调节阀的低压侧，应当装设安全阀和压力表；</w:t>
            </w:r>
          </w:p>
          <w:p>
            <w:pPr>
              <w:keepNext w:val="0"/>
              <w:keepLines w:val="0"/>
              <w:pageBreakBefore w:val="0"/>
              <w:widowControl/>
              <w:kinsoku/>
              <w:wordWrap/>
              <w:overflowPunct/>
              <w:topLinePunct w:val="0"/>
              <w:autoSpaceDE/>
              <w:autoSpaceDN/>
              <w:bidi w:val="0"/>
              <w:adjustRightInd w:val="0"/>
              <w:snapToGrid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（5）使用单位应当保证压力容器使用前已经按照设计要求装设了超压泄放装置。</w:t>
            </w:r>
          </w:p>
        </w:tc>
        <w:tc>
          <w:tcPr>
            <w:tcW w:w="1163" w:type="pct"/>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sz w:val="21"/>
                <w:szCs w:val="21"/>
              </w:rPr>
              <w:t>《</w:t>
            </w:r>
            <w:r>
              <w:rPr>
                <w:rFonts w:hint="default" w:ascii="Times New Roman" w:hAnsi="Times New Roman" w:cs="Times New Roman"/>
                <w:kern w:val="0"/>
                <w:sz w:val="21"/>
                <w:szCs w:val="21"/>
              </w:rPr>
              <w:t>固定式压力容器安全技术监察规程</w:t>
            </w:r>
            <w:r>
              <w:rPr>
                <w:rFonts w:hint="default" w:ascii="Times New Roman" w:hAnsi="Times New Roman" w:cs="Times New Roman"/>
                <w:sz w:val="21"/>
                <w:szCs w:val="21"/>
              </w:rPr>
              <w:t>》</w:t>
            </w:r>
            <w:r>
              <w:rPr>
                <w:rFonts w:hint="default" w:ascii="Times New Roman" w:hAnsi="Times New Roman" w:cs="Times New Roman"/>
                <w:kern w:val="0"/>
                <w:sz w:val="21"/>
                <w:szCs w:val="21"/>
              </w:rPr>
              <w:t>TSG21-2016</w:t>
            </w:r>
          </w:p>
          <w:p>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第9.1.2条</w:t>
            </w:r>
          </w:p>
        </w:tc>
        <w:tc>
          <w:tcPr>
            <w:tcW w:w="871" w:type="pct"/>
            <w:tcBorders>
              <w:left w:val="nil"/>
            </w:tcBorders>
            <w:vAlign w:val="center"/>
          </w:tcPr>
          <w:p>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按要求安装。</w:t>
            </w:r>
          </w:p>
        </w:tc>
        <w:tc>
          <w:tcPr>
            <w:tcW w:w="384"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numPr>
                <w:ilvl w:val="0"/>
                <w:numId w:val="32"/>
              </w:numPr>
              <w:kinsoku/>
              <w:wordWrap/>
              <w:overflowPunct/>
              <w:topLinePunct w:val="0"/>
              <w:autoSpaceDE/>
              <w:autoSpaceDN/>
              <w:bidi w:val="0"/>
              <w:spacing w:line="340" w:lineRule="exact"/>
              <w:textAlignment w:val="auto"/>
              <w:rPr>
                <w:rFonts w:hint="default" w:ascii="Times New Roman" w:hAnsi="Times New Roman" w:cs="Times New Roman"/>
                <w:sz w:val="21"/>
                <w:szCs w:val="21"/>
              </w:rPr>
            </w:pPr>
          </w:p>
        </w:tc>
        <w:tc>
          <w:tcPr>
            <w:tcW w:w="2354" w:type="pct"/>
            <w:tcBorders>
              <w:left w:val="nil"/>
            </w:tcBorders>
            <w:vAlign w:val="center"/>
          </w:tcPr>
          <w:p>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安全阀的整定压力一般不大于该压力容器的设计压力。设计图样或者铭牌上标注有最高允许工作压力的，也可以采用最高允许工作压力确定安全阀的整定压力。</w:t>
            </w:r>
          </w:p>
        </w:tc>
        <w:tc>
          <w:tcPr>
            <w:tcW w:w="1163"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《固定式压力容器安全技术监察规程》TSG R21-2016</w:t>
            </w:r>
          </w:p>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第9.1.4.2条</w:t>
            </w:r>
          </w:p>
        </w:tc>
        <w:tc>
          <w:tcPr>
            <w:tcW w:w="871"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安全阀的选用符合要求。</w:t>
            </w:r>
          </w:p>
        </w:tc>
        <w:tc>
          <w:tcPr>
            <w:tcW w:w="384"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numPr>
                <w:ilvl w:val="0"/>
                <w:numId w:val="32"/>
              </w:numPr>
              <w:kinsoku/>
              <w:wordWrap/>
              <w:overflowPunct/>
              <w:topLinePunct w:val="0"/>
              <w:autoSpaceDE/>
              <w:autoSpaceDN/>
              <w:bidi w:val="0"/>
              <w:spacing w:line="340" w:lineRule="exact"/>
              <w:textAlignment w:val="auto"/>
              <w:rPr>
                <w:rFonts w:hint="default" w:ascii="Times New Roman" w:hAnsi="Times New Roman" w:cs="Times New Roman"/>
                <w:sz w:val="21"/>
                <w:szCs w:val="21"/>
              </w:rPr>
            </w:pPr>
          </w:p>
        </w:tc>
        <w:tc>
          <w:tcPr>
            <w:tcW w:w="2354" w:type="pct"/>
            <w:tcBorders>
              <w:left w:val="nil"/>
            </w:tcBorders>
            <w:vAlign w:val="center"/>
          </w:tcPr>
          <w:p>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压力表的选用：</w:t>
            </w:r>
          </w:p>
          <w:p>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1、选用的压力表，应当与压力容器内的介质相适应；</w:t>
            </w:r>
          </w:p>
          <w:p>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2、设计压力小于1.6MPa压力容器使用的压力表的精度不得低于2.5级，设计压力大于或者等于1.6MPa压力容器使用的压力表的精度不得低于1.6级；</w:t>
            </w:r>
          </w:p>
          <w:p>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3、压力表表盘刻度极限值应为最大允许工作压力的1.5～3.0倍。</w:t>
            </w:r>
          </w:p>
        </w:tc>
        <w:tc>
          <w:tcPr>
            <w:tcW w:w="1163"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《固定式压力容器安全技术监察规程》TSG R21-2016</w:t>
            </w:r>
          </w:p>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第9.2.1.1条</w:t>
            </w:r>
          </w:p>
        </w:tc>
        <w:tc>
          <w:tcPr>
            <w:tcW w:w="871"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压力表的精度和表盘刻度按要求选择</w:t>
            </w:r>
          </w:p>
        </w:tc>
        <w:tc>
          <w:tcPr>
            <w:tcW w:w="384"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numPr>
                <w:ilvl w:val="0"/>
                <w:numId w:val="32"/>
              </w:numPr>
              <w:kinsoku/>
              <w:wordWrap/>
              <w:overflowPunct/>
              <w:topLinePunct w:val="0"/>
              <w:autoSpaceDE/>
              <w:autoSpaceDN/>
              <w:bidi w:val="0"/>
              <w:spacing w:line="340" w:lineRule="exact"/>
              <w:textAlignment w:val="auto"/>
              <w:rPr>
                <w:rFonts w:hint="default" w:ascii="Times New Roman" w:hAnsi="Times New Roman" w:cs="Times New Roman"/>
                <w:sz w:val="21"/>
                <w:szCs w:val="21"/>
              </w:rPr>
            </w:pPr>
          </w:p>
        </w:tc>
        <w:tc>
          <w:tcPr>
            <w:tcW w:w="2354" w:type="pct"/>
            <w:tcBorders>
              <w:left w:val="nil"/>
            </w:tcBorders>
            <w:vAlign w:val="center"/>
          </w:tcPr>
          <w:p>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压力表的校验：</w:t>
            </w:r>
          </w:p>
          <w:p>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压力表安装前应当进行校验，在刻度盘上应当划出指示工作压力的红线，注明下次校验日期。压力表校验后应加铅封。</w:t>
            </w:r>
          </w:p>
        </w:tc>
        <w:tc>
          <w:tcPr>
            <w:tcW w:w="1163"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《固定式压力容器安全技术监察规程》TSG R21-2016</w:t>
            </w:r>
          </w:p>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第9.2.1.2条</w:t>
            </w:r>
          </w:p>
        </w:tc>
        <w:tc>
          <w:tcPr>
            <w:tcW w:w="871"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压力表定期进行校验</w:t>
            </w:r>
          </w:p>
        </w:tc>
        <w:tc>
          <w:tcPr>
            <w:tcW w:w="384"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numPr>
                <w:ilvl w:val="0"/>
                <w:numId w:val="32"/>
              </w:numPr>
              <w:kinsoku/>
              <w:wordWrap/>
              <w:overflowPunct/>
              <w:topLinePunct w:val="0"/>
              <w:autoSpaceDE/>
              <w:autoSpaceDN/>
              <w:bidi w:val="0"/>
              <w:spacing w:line="340" w:lineRule="exact"/>
              <w:textAlignment w:val="auto"/>
              <w:rPr>
                <w:rFonts w:hint="default" w:ascii="Times New Roman" w:hAnsi="Times New Roman" w:cs="Times New Roman"/>
                <w:sz w:val="21"/>
                <w:szCs w:val="21"/>
              </w:rPr>
            </w:pPr>
          </w:p>
        </w:tc>
        <w:tc>
          <w:tcPr>
            <w:tcW w:w="2354" w:type="pct"/>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液位计：</w:t>
            </w:r>
          </w:p>
          <w:p>
            <w:pPr>
              <w:keepNext w:val="0"/>
              <w:keepLines w:val="0"/>
              <w:pageBreakBefore w:val="0"/>
              <w:widowControl/>
              <w:kinsoku/>
              <w:wordWrap/>
              <w:overflowPunct/>
              <w:topLinePunct w:val="0"/>
              <w:autoSpaceDE/>
              <w:autoSpaceDN/>
              <w:bidi w:val="0"/>
              <w:adjustRightInd w:val="0"/>
              <w:snapToGrid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压力容器用液位计应当符合以下要求：</w:t>
            </w:r>
          </w:p>
          <w:p>
            <w:pPr>
              <w:keepNext w:val="0"/>
              <w:keepLines w:val="0"/>
              <w:pageBreakBefore w:val="0"/>
              <w:widowControl/>
              <w:kinsoku/>
              <w:wordWrap/>
              <w:overflowPunct/>
              <w:topLinePunct w:val="0"/>
              <w:autoSpaceDE/>
              <w:autoSpaceDN/>
              <w:bidi w:val="0"/>
              <w:adjustRightInd w:val="0"/>
              <w:snapToGrid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（1）根据压力容器介质、设计压力（或者最高允许工作压力）和设计温度选用。</w:t>
            </w:r>
          </w:p>
          <w:p>
            <w:pPr>
              <w:keepNext w:val="0"/>
              <w:keepLines w:val="0"/>
              <w:pageBreakBefore w:val="0"/>
              <w:widowControl/>
              <w:kinsoku/>
              <w:wordWrap/>
              <w:overflowPunct/>
              <w:topLinePunct w:val="0"/>
              <w:autoSpaceDE/>
              <w:autoSpaceDN/>
              <w:bidi w:val="0"/>
              <w:adjustRightInd w:val="0"/>
              <w:snapToGrid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（2）储存0℃以下介质的压力容器，选用防霜液位计；</w:t>
            </w:r>
          </w:p>
          <w:p>
            <w:pPr>
              <w:keepNext w:val="0"/>
              <w:keepLines w:val="0"/>
              <w:pageBreakBefore w:val="0"/>
              <w:widowControl/>
              <w:kinsoku/>
              <w:wordWrap/>
              <w:overflowPunct/>
              <w:topLinePunct w:val="0"/>
              <w:autoSpaceDE/>
              <w:autoSpaceDN/>
              <w:bidi w:val="0"/>
              <w:adjustRightInd w:val="0"/>
              <w:snapToGrid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（3）用于易爆、毒性危害程度为极度或者高度危害介质以及液化气体压力容器上的液位计，有防止泄漏的保护装置；</w:t>
            </w:r>
          </w:p>
          <w:p>
            <w:pPr>
              <w:keepNext w:val="0"/>
              <w:keepLines w:val="0"/>
              <w:pageBreakBefore w:val="0"/>
              <w:widowControl/>
              <w:kinsoku/>
              <w:wordWrap/>
              <w:overflowPunct/>
              <w:topLinePunct w:val="0"/>
              <w:autoSpaceDE/>
              <w:autoSpaceDN/>
              <w:bidi w:val="0"/>
              <w:adjustRightInd w:val="0"/>
              <w:snapToGrid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（4）要求液面平稳的，不允许采用浮子（标）式液位计。</w:t>
            </w:r>
          </w:p>
        </w:tc>
        <w:tc>
          <w:tcPr>
            <w:tcW w:w="1163" w:type="pct"/>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sz w:val="21"/>
                <w:szCs w:val="21"/>
              </w:rPr>
              <w:t>《</w:t>
            </w:r>
            <w:r>
              <w:rPr>
                <w:rFonts w:hint="default" w:ascii="Times New Roman" w:hAnsi="Times New Roman" w:cs="Times New Roman"/>
                <w:kern w:val="0"/>
                <w:sz w:val="21"/>
                <w:szCs w:val="21"/>
              </w:rPr>
              <w:t>固定式压力容器安全技术监察规程</w:t>
            </w:r>
            <w:r>
              <w:rPr>
                <w:rFonts w:hint="default" w:ascii="Times New Roman" w:hAnsi="Times New Roman" w:cs="Times New Roman"/>
                <w:sz w:val="21"/>
                <w:szCs w:val="21"/>
              </w:rPr>
              <w:t>》</w:t>
            </w:r>
            <w:r>
              <w:rPr>
                <w:rFonts w:hint="default" w:ascii="Times New Roman" w:hAnsi="Times New Roman" w:cs="Times New Roman"/>
                <w:kern w:val="0"/>
                <w:sz w:val="21"/>
                <w:szCs w:val="21"/>
              </w:rPr>
              <w:t>TSG21-2016</w:t>
            </w:r>
          </w:p>
          <w:p>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第9.2.2.1条</w:t>
            </w:r>
          </w:p>
        </w:tc>
        <w:tc>
          <w:tcPr>
            <w:tcW w:w="871"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按要求安装</w:t>
            </w:r>
          </w:p>
        </w:tc>
        <w:tc>
          <w:tcPr>
            <w:tcW w:w="384"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Align w:val="center"/>
          </w:tcPr>
          <w:p>
            <w:pPr>
              <w:keepNext w:val="0"/>
              <w:keepLines w:val="0"/>
              <w:pageBreakBefore w:val="0"/>
              <w:numPr>
                <w:ilvl w:val="0"/>
                <w:numId w:val="32"/>
              </w:numPr>
              <w:kinsoku/>
              <w:wordWrap/>
              <w:overflowPunct/>
              <w:topLinePunct w:val="0"/>
              <w:autoSpaceDE/>
              <w:autoSpaceDN/>
              <w:bidi w:val="0"/>
              <w:spacing w:line="340" w:lineRule="exact"/>
              <w:textAlignment w:val="auto"/>
              <w:rPr>
                <w:rFonts w:hint="default" w:ascii="Times New Roman" w:hAnsi="Times New Roman" w:cs="Times New Roman"/>
                <w:sz w:val="21"/>
                <w:szCs w:val="21"/>
              </w:rPr>
            </w:pPr>
          </w:p>
        </w:tc>
        <w:tc>
          <w:tcPr>
            <w:tcW w:w="2354" w:type="pct"/>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液位计应当安装在便于观察的位置，否则应当增加其他辅助设施。大型压力容器还应当有集中控制的设施和警报装置。液位计上最高和最低安全液位，应当作出明显的标志。</w:t>
            </w:r>
          </w:p>
        </w:tc>
        <w:tc>
          <w:tcPr>
            <w:tcW w:w="1163" w:type="pct"/>
            <w:tcBorders>
              <w:left w:val="nil"/>
            </w:tcBorders>
            <w:vAlign w:val="center"/>
          </w:tcPr>
          <w:p>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sz w:val="21"/>
                <w:szCs w:val="21"/>
              </w:rPr>
              <w:t>《</w:t>
            </w:r>
            <w:r>
              <w:rPr>
                <w:rFonts w:hint="default" w:ascii="Times New Roman" w:hAnsi="Times New Roman" w:cs="Times New Roman"/>
                <w:kern w:val="0"/>
                <w:sz w:val="21"/>
                <w:szCs w:val="21"/>
              </w:rPr>
              <w:t>固定式压力容器安全技术监察规程</w:t>
            </w:r>
            <w:r>
              <w:rPr>
                <w:rFonts w:hint="default" w:ascii="Times New Roman" w:hAnsi="Times New Roman" w:cs="Times New Roman"/>
                <w:sz w:val="21"/>
                <w:szCs w:val="21"/>
              </w:rPr>
              <w:t>》</w:t>
            </w:r>
            <w:r>
              <w:rPr>
                <w:rFonts w:hint="default" w:ascii="Times New Roman" w:hAnsi="Times New Roman" w:cs="Times New Roman"/>
                <w:kern w:val="0"/>
                <w:sz w:val="21"/>
                <w:szCs w:val="21"/>
              </w:rPr>
              <w:t>TSG21-2016</w:t>
            </w:r>
          </w:p>
          <w:p>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第9.2.2.2条</w:t>
            </w:r>
          </w:p>
        </w:tc>
        <w:tc>
          <w:tcPr>
            <w:tcW w:w="871"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安装位置符合要求</w:t>
            </w:r>
          </w:p>
        </w:tc>
        <w:tc>
          <w:tcPr>
            <w:tcW w:w="384" w:type="pct"/>
            <w:tcBorders>
              <w:left w:val="nil"/>
            </w:tcBorders>
            <w:vAlign w:val="center"/>
          </w:tcPr>
          <w:p>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r>
    </w:tbl>
    <w:p>
      <w:pPr>
        <w:ind w:firstLine="560" w:firstLineChars="200"/>
        <w:rPr>
          <w:rFonts w:hint="default" w:ascii="Times New Roman" w:hAnsi="Times New Roman" w:cs="Times New Roman"/>
        </w:rPr>
      </w:pPr>
      <w:r>
        <w:rPr>
          <w:rFonts w:hint="default" w:ascii="Times New Roman" w:hAnsi="Times New Roman" w:cs="Times New Roman"/>
        </w:rPr>
        <w:t>单元评价小结</w:t>
      </w:r>
    </w:p>
    <w:p>
      <w:pPr>
        <w:ind w:firstLine="560" w:firstLineChars="200"/>
        <w:rPr>
          <w:rFonts w:hint="default" w:ascii="Times New Roman" w:hAnsi="Times New Roman" w:cs="Times New Roman"/>
        </w:rPr>
      </w:pPr>
      <w:r>
        <w:rPr>
          <w:rFonts w:hint="default" w:ascii="Times New Roman" w:hAnsi="Times New Roman" w:cs="Times New Roman"/>
        </w:rPr>
        <w:t>1）该公司在用的压力容器（包括安全附件安全阀、压力表）都是由有资质的单位进行设计、制作和安装，有特种设备的设计文件、制造单位、产品质量合格证明、使用维护说明等文件以及安装技术文件和资料，符合《特种设备安全法》的要求。</w:t>
      </w:r>
    </w:p>
    <w:p>
      <w:pPr>
        <w:ind w:firstLine="560" w:firstLineChars="200"/>
        <w:rPr>
          <w:rFonts w:hint="default" w:ascii="Times New Roman" w:hAnsi="Times New Roman" w:cs="Times New Roman"/>
        </w:rPr>
      </w:pPr>
      <w:r>
        <w:rPr>
          <w:rFonts w:hint="default" w:ascii="Times New Roman" w:hAnsi="Times New Roman" w:cs="Times New Roman"/>
        </w:rPr>
        <w:t>2）该公司已对特种设备作业人员进行特种设备安全教育和培训，保证特种设备作业人员具备必要的特种设备安全作业知识，制定特种设备的操作规程和有关的安全规章制度，符合《特种设备安全法》的要求。</w:t>
      </w:r>
    </w:p>
    <w:p>
      <w:pPr>
        <w:ind w:firstLine="560" w:firstLineChars="200"/>
        <w:rPr>
          <w:rFonts w:hint="default" w:ascii="Times New Roman" w:hAnsi="Times New Roman" w:cs="Times New Roman"/>
        </w:rPr>
      </w:pPr>
      <w:r>
        <w:rPr>
          <w:rFonts w:hint="default" w:ascii="Times New Roman" w:hAnsi="Times New Roman" w:cs="Times New Roman"/>
        </w:rPr>
        <w:t>3）该公司已配备技术负责人对特种设备的安全技术管理负责，工程技术人员负责安全技术管理工作，符合《特种设备》的要求。</w:t>
      </w:r>
    </w:p>
    <w:p>
      <w:pPr>
        <w:ind w:firstLine="560" w:firstLineChars="200"/>
        <w:rPr>
          <w:rFonts w:hint="default" w:ascii="Times New Roman" w:hAnsi="Times New Roman" w:cs="Times New Roman"/>
        </w:rPr>
      </w:pPr>
      <w:r>
        <w:rPr>
          <w:rFonts w:hint="default" w:ascii="Times New Roman" w:hAnsi="Times New Roman" w:cs="Times New Roman"/>
        </w:rPr>
        <w:t>4）对该单元共进行了17项检查，符合要求。</w:t>
      </w:r>
    </w:p>
    <w:p>
      <w:pPr>
        <w:pStyle w:val="5"/>
        <w:ind w:left="0" w:leftChars="0"/>
        <w:rPr>
          <w:rFonts w:hint="default" w:ascii="Times New Roman" w:hAnsi="Times New Roman" w:cs="Times New Roman"/>
        </w:rPr>
      </w:pPr>
      <w:r>
        <w:rPr>
          <w:rFonts w:hint="default" w:ascii="Times New Roman" w:hAnsi="Times New Roman" w:cs="Times New Roman"/>
        </w:rPr>
        <w:t>C.5.5消防子单元</w:t>
      </w:r>
    </w:p>
    <w:p>
      <w:pPr>
        <w:ind w:firstLine="560" w:firstLineChars="200"/>
        <w:rPr>
          <w:rFonts w:hint="default" w:ascii="Times New Roman" w:hAnsi="Times New Roman" w:cs="Times New Roman"/>
        </w:rPr>
      </w:pPr>
      <w:r>
        <w:rPr>
          <w:rFonts w:hint="default" w:ascii="Times New Roman" w:hAnsi="Times New Roman" w:cs="Times New Roman"/>
        </w:rPr>
        <w:t>评价组依据《中华人民共和国消防法》、《建筑设计防火规范》、《消防给水及消火栓系统技术规范》、《消防安全标志设置要求》对该项目的消防设施等是否符合规范、标准的要求进行评价。检查内容见下表。</w:t>
      </w:r>
    </w:p>
    <w:p>
      <w:pPr>
        <w:jc w:val="center"/>
        <w:rPr>
          <w:rFonts w:hint="default" w:ascii="Times New Roman" w:hAnsi="Times New Roman" w:cs="Times New Roman"/>
        </w:rPr>
      </w:pPr>
      <w:r>
        <w:rPr>
          <w:rFonts w:hint="default" w:ascii="Times New Roman" w:hAnsi="Times New Roman" w:cs="Times New Roman"/>
        </w:rPr>
        <w:t>附表C.5-</w:t>
      </w:r>
      <w:r>
        <w:rPr>
          <w:rFonts w:hint="default" w:ascii="Times New Roman" w:hAnsi="Times New Roman" w:cs="Times New Roman"/>
          <w:lang w:val="en-US" w:eastAsia="zh-CN"/>
        </w:rPr>
        <w:t>6</w:t>
      </w:r>
      <w:r>
        <w:rPr>
          <w:rFonts w:hint="default" w:ascii="Times New Roman" w:hAnsi="Times New Roman" w:cs="Times New Roman"/>
        </w:rPr>
        <w:t>消防子单元安全检查表</w:t>
      </w:r>
    </w:p>
    <w:tbl>
      <w:tblPr>
        <w:tblStyle w:val="25"/>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4649"/>
        <w:gridCol w:w="778"/>
        <w:gridCol w:w="1423"/>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06"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4649"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检查项目和内容</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检查结果</w:t>
            </w:r>
          </w:p>
        </w:tc>
        <w:tc>
          <w:tcPr>
            <w:tcW w:w="1423"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检查依据</w:t>
            </w:r>
          </w:p>
        </w:tc>
        <w:tc>
          <w:tcPr>
            <w:tcW w:w="2030"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bidi w:val="0"/>
              <w:snapToGrid/>
              <w:spacing w:line="35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化工企业低压消防给水设施、消防给水宜与生产或生活给水管道系统合并。高压消防给水应设计独立的消防给水管道系统。消防给水管道一般应采用环状管网。　　</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5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423" w:type="dxa"/>
            <w:tcBorders>
              <w:tl2br w:val="nil"/>
              <w:tr2bl w:val="nil"/>
            </w:tcBorders>
          </w:tcPr>
          <w:p>
            <w:pPr>
              <w:keepNext w:val="0"/>
              <w:keepLines w:val="0"/>
              <w:pageBreakBefore w:val="0"/>
              <w:widowControl w:val="0"/>
              <w:kinsoku/>
              <w:wordWrap/>
              <w:overflowPunct/>
              <w:topLinePunct w:val="0"/>
              <w:bidi w:val="0"/>
              <w:snapToGrid/>
              <w:spacing w:line="35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《化工企业安全卫生设计规范》4.1.13.2</w:t>
            </w:r>
          </w:p>
        </w:tc>
        <w:tc>
          <w:tcPr>
            <w:tcW w:w="2030" w:type="dxa"/>
            <w:tcBorders>
              <w:tl2br w:val="nil"/>
              <w:tr2bl w:val="nil"/>
            </w:tcBorders>
            <w:vAlign w:val="center"/>
          </w:tcPr>
          <w:p>
            <w:pPr>
              <w:keepNext w:val="0"/>
              <w:keepLines w:val="0"/>
              <w:pageBreakBefore w:val="0"/>
              <w:widowControl w:val="0"/>
              <w:kinsoku/>
              <w:wordWrap/>
              <w:overflowPunct/>
              <w:topLinePunct w:val="0"/>
              <w:bidi w:val="0"/>
              <w:snapToGrid/>
              <w:spacing w:line="35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消防给水管道采用环状管网。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bidi w:val="0"/>
              <w:snapToGrid/>
              <w:spacing w:line="35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化工生产装置区、储罐区、仓库除应设置固定式、半固定式灭火设施外，还应按规定设置小型灭火器材。</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5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423" w:type="dxa"/>
            <w:tcBorders>
              <w:tl2br w:val="nil"/>
              <w:tr2bl w:val="nil"/>
            </w:tcBorders>
          </w:tcPr>
          <w:p>
            <w:pPr>
              <w:keepNext w:val="0"/>
              <w:keepLines w:val="0"/>
              <w:pageBreakBefore w:val="0"/>
              <w:widowControl w:val="0"/>
              <w:kinsoku/>
              <w:wordWrap/>
              <w:overflowPunct/>
              <w:topLinePunct w:val="0"/>
              <w:bidi w:val="0"/>
              <w:snapToGrid/>
              <w:spacing w:line="35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《化工企业安全卫生设计规范》4.1.13.5</w:t>
            </w:r>
          </w:p>
        </w:tc>
        <w:tc>
          <w:tcPr>
            <w:tcW w:w="2030" w:type="dxa"/>
            <w:tcBorders>
              <w:tl2br w:val="nil"/>
              <w:tr2bl w:val="nil"/>
            </w:tcBorders>
            <w:vAlign w:val="center"/>
          </w:tcPr>
          <w:p>
            <w:pPr>
              <w:keepNext w:val="0"/>
              <w:keepLines w:val="0"/>
              <w:pageBreakBefore w:val="0"/>
              <w:widowControl w:val="0"/>
              <w:kinsoku/>
              <w:wordWrap/>
              <w:overflowPunct/>
              <w:topLinePunct w:val="0"/>
              <w:bidi w:val="0"/>
              <w:snapToGrid/>
              <w:spacing w:line="35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按规定设置固定式、半固定式灭火设施、小型灭火器材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50" w:lineRule="exact"/>
              <w:jc w:val="left"/>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第十三条　国务院住房和城乡建设主管部门规定应当申请消防验收的建设工程竣工，建设单位应当向住房和城乡建设主管部门申请消防验收。</w:t>
            </w:r>
          </w:p>
          <w:p>
            <w:pPr>
              <w:keepNext w:val="0"/>
              <w:keepLines w:val="0"/>
              <w:pageBreakBefore w:val="0"/>
              <w:widowControl w:val="0"/>
              <w:kinsoku/>
              <w:wordWrap/>
              <w:overflowPunct/>
              <w:topLinePunct w:val="0"/>
              <w:autoSpaceDE w:val="0"/>
              <w:autoSpaceDN w:val="0"/>
              <w:bidi w:val="0"/>
              <w:adjustRightInd w:val="0"/>
              <w:snapToGrid/>
              <w:spacing w:line="350" w:lineRule="exact"/>
              <w:jc w:val="left"/>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前款规定以外的其他建设工程，建设单位在验收后应当报住房和城乡建设主管部门备案，住房和城乡建设主管部门应当进行抽查。</w:t>
            </w:r>
          </w:p>
          <w:p>
            <w:pPr>
              <w:keepNext w:val="0"/>
              <w:keepLines w:val="0"/>
              <w:pageBreakBefore w:val="0"/>
              <w:widowControl w:val="0"/>
              <w:kinsoku/>
              <w:wordWrap/>
              <w:overflowPunct/>
              <w:topLinePunct w:val="0"/>
              <w:bidi w:val="0"/>
              <w:snapToGrid/>
              <w:spacing w:line="35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lang w:val="zh-CN"/>
              </w:rPr>
              <w:t>依法应当进行消防验收的建设工程，未经消防验收或者消防验收不合格的，禁止投入使用；其他建设工程经依法抽查不合格的，应当停止使用。</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5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423" w:type="dxa"/>
            <w:tcBorders>
              <w:tl2br w:val="nil"/>
              <w:tr2bl w:val="nil"/>
            </w:tcBorders>
            <w:vAlign w:val="center"/>
          </w:tcPr>
          <w:p>
            <w:pPr>
              <w:keepNext w:val="0"/>
              <w:keepLines w:val="0"/>
              <w:pageBreakBefore w:val="0"/>
              <w:widowControl w:val="0"/>
              <w:kinsoku/>
              <w:wordWrap/>
              <w:overflowPunct/>
              <w:topLinePunct w:val="0"/>
              <w:bidi w:val="0"/>
              <w:snapToGrid/>
              <w:spacing w:line="35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《中华人民共和国消防法》第十三条</w:t>
            </w:r>
          </w:p>
        </w:tc>
        <w:tc>
          <w:tcPr>
            <w:tcW w:w="20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50" w:lineRule="exact"/>
              <w:jc w:val="left"/>
              <w:textAlignment w:val="auto"/>
              <w:rPr>
                <w:rFonts w:hint="default" w:ascii="Times New Roman" w:hAnsi="Times New Roman" w:cs="Times New Roman"/>
                <w:sz w:val="21"/>
                <w:szCs w:val="21"/>
                <w:lang w:val="zh-CN"/>
              </w:rPr>
            </w:pPr>
            <w:r>
              <w:rPr>
                <w:rFonts w:hint="default" w:ascii="Times New Roman" w:hAnsi="Times New Roman" w:cs="Times New Roman"/>
                <w:sz w:val="21"/>
                <w:szCs w:val="21"/>
                <w:lang w:val="zh-CN"/>
              </w:rPr>
              <w:t>消防验收经过备案</w:t>
            </w:r>
          </w:p>
          <w:p>
            <w:pPr>
              <w:keepNext w:val="0"/>
              <w:keepLines w:val="0"/>
              <w:pageBreakBefore w:val="0"/>
              <w:widowControl w:val="0"/>
              <w:kinsoku/>
              <w:wordWrap/>
              <w:overflowPunct/>
              <w:topLinePunct w:val="0"/>
              <w:bidi w:val="0"/>
              <w:snapToGrid/>
              <w:spacing w:line="350" w:lineRule="exact"/>
              <w:jc w:val="left"/>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5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生产、储存、经营易燃易爆危险品的场所不得与居住场所设置在同一建筑物内，并应当与居住场所保持安全距离。生产、储存、经营其他物品的场所与居住场所设置在同一建筑物内的，应当符合国家工程建设消防技术标准。</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50" w:lineRule="exact"/>
              <w:jc w:val="center"/>
              <w:textAlignment w:val="auto"/>
              <w:rPr>
                <w:rFonts w:hint="default" w:ascii="Times New Roman" w:hAnsi="Times New Roman" w:cs="Times New Roman"/>
                <w:sz w:val="21"/>
                <w:szCs w:val="21"/>
              </w:rPr>
            </w:pPr>
            <w:r>
              <w:rPr>
                <w:rFonts w:hint="default" w:ascii="Times New Roman" w:hAnsi="Times New Roman" w:cs="Times New Roman"/>
                <w:kern w:val="24"/>
                <w:sz w:val="21"/>
                <w:szCs w:val="21"/>
              </w:rPr>
              <w:t>符合要求</w:t>
            </w:r>
          </w:p>
        </w:tc>
        <w:tc>
          <w:tcPr>
            <w:tcW w:w="1423" w:type="dxa"/>
            <w:tcBorders>
              <w:tl2br w:val="nil"/>
              <w:tr2bl w:val="nil"/>
            </w:tcBorders>
            <w:vAlign w:val="center"/>
          </w:tcPr>
          <w:p>
            <w:pPr>
              <w:keepNext w:val="0"/>
              <w:keepLines w:val="0"/>
              <w:pageBreakBefore w:val="0"/>
              <w:widowControl w:val="0"/>
              <w:kinsoku/>
              <w:wordWrap/>
              <w:overflowPunct/>
              <w:topLinePunct w:val="0"/>
              <w:bidi w:val="0"/>
              <w:snapToGrid/>
              <w:spacing w:line="35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《中华人民共和国消防法》第十九条</w:t>
            </w:r>
          </w:p>
        </w:tc>
        <w:tc>
          <w:tcPr>
            <w:tcW w:w="2030" w:type="dxa"/>
            <w:tcBorders>
              <w:tl2br w:val="nil"/>
              <w:tr2bl w:val="nil"/>
            </w:tcBorders>
            <w:vAlign w:val="center"/>
          </w:tcPr>
          <w:p>
            <w:pPr>
              <w:keepNext w:val="0"/>
              <w:keepLines w:val="0"/>
              <w:pageBreakBefore w:val="0"/>
              <w:widowControl w:val="0"/>
              <w:kinsoku/>
              <w:wordWrap/>
              <w:overflowPunct/>
              <w:topLinePunct w:val="0"/>
              <w:bidi w:val="0"/>
              <w:snapToGrid/>
              <w:spacing w:line="35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该项目生产区内未设员工宿舍。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5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　禁止在具有火灾、爆炸危险的场所吸烟、使用明火。因施工等特殊情况需要使用明火作业的，应当按照规定事先办理审批手续，采取相应的消防安全措施；作业人员应当遵守消防安全规定。</w:t>
            </w:r>
          </w:p>
          <w:p>
            <w:pPr>
              <w:keepNext w:val="0"/>
              <w:keepLines w:val="0"/>
              <w:pageBreakBefore w:val="0"/>
              <w:widowControl w:val="0"/>
              <w:kinsoku/>
              <w:wordWrap/>
              <w:overflowPunct/>
              <w:topLinePunct w:val="0"/>
              <w:autoSpaceDE w:val="0"/>
              <w:autoSpaceDN w:val="0"/>
              <w:bidi w:val="0"/>
              <w:adjustRightInd w:val="0"/>
              <w:snapToGrid/>
              <w:spacing w:line="35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进行电焊、气焊等具有火灾危险作业的人员和自动消防系统的操作人员，必须持证上岗，并遵守消防安全操作规程。</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50" w:lineRule="exact"/>
              <w:jc w:val="center"/>
              <w:textAlignment w:val="auto"/>
              <w:rPr>
                <w:rFonts w:hint="default" w:ascii="Times New Roman" w:hAnsi="Times New Roman" w:cs="Times New Roman"/>
                <w:sz w:val="21"/>
                <w:szCs w:val="21"/>
              </w:rPr>
            </w:pPr>
            <w:r>
              <w:rPr>
                <w:rFonts w:hint="default" w:ascii="Times New Roman" w:hAnsi="Times New Roman" w:cs="Times New Roman"/>
                <w:kern w:val="24"/>
                <w:sz w:val="21"/>
                <w:szCs w:val="21"/>
              </w:rPr>
              <w:t>符合要求</w:t>
            </w:r>
          </w:p>
        </w:tc>
        <w:tc>
          <w:tcPr>
            <w:tcW w:w="1423" w:type="dxa"/>
            <w:tcBorders>
              <w:tl2br w:val="nil"/>
              <w:tr2bl w:val="nil"/>
            </w:tcBorders>
            <w:vAlign w:val="center"/>
          </w:tcPr>
          <w:p>
            <w:pPr>
              <w:keepNext w:val="0"/>
              <w:keepLines w:val="0"/>
              <w:pageBreakBefore w:val="0"/>
              <w:widowControl w:val="0"/>
              <w:kinsoku/>
              <w:wordWrap/>
              <w:overflowPunct/>
              <w:topLinePunct w:val="0"/>
              <w:bidi w:val="0"/>
              <w:snapToGrid/>
              <w:spacing w:line="35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《中华人民共和国消防法》第二十一条</w:t>
            </w:r>
          </w:p>
        </w:tc>
        <w:tc>
          <w:tcPr>
            <w:tcW w:w="2030" w:type="dxa"/>
            <w:tcBorders>
              <w:tl2br w:val="nil"/>
              <w:tr2bl w:val="nil"/>
            </w:tcBorders>
            <w:vAlign w:val="center"/>
          </w:tcPr>
          <w:p>
            <w:pPr>
              <w:keepNext w:val="0"/>
              <w:keepLines w:val="0"/>
              <w:pageBreakBefore w:val="0"/>
              <w:widowControl w:val="0"/>
              <w:kinsoku/>
              <w:wordWrap/>
              <w:overflowPunct/>
              <w:topLinePunct w:val="0"/>
              <w:bidi w:val="0"/>
              <w:snapToGrid/>
              <w:spacing w:line="35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lang w:val="zh-CN"/>
              </w:rPr>
              <w:t>已制定相关制度，进行电焊、气焊等具有火灾危险作业的人员持证上岗，并遵守消防安全操作规程。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　消防产品必须符合国家标准；没有国家标准的，必须符合行业标准。禁止生产、销售或者使用不合格的消防产品以及国家明令淘汰的消防产品。</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kern w:val="24"/>
                <w:sz w:val="21"/>
                <w:szCs w:val="21"/>
              </w:rPr>
              <w:t>符合要求</w:t>
            </w:r>
          </w:p>
        </w:tc>
        <w:tc>
          <w:tcPr>
            <w:tcW w:w="1423"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《中华人民共和国消防法》第二十四条</w:t>
            </w:r>
          </w:p>
        </w:tc>
        <w:tc>
          <w:tcPr>
            <w:tcW w:w="2030"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lang w:val="zh-CN"/>
              </w:rPr>
              <w:t>采用的消防产品符合国家标准。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消防车道应符合下列要求：</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1 车道的净宽度和净空高度均不应小于4.0m；</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2 转弯半径应满足消防车转弯的要求；</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3 消防车道与建筑之间不应设置妨碍消防车操作的树木、架空管线等障碍物；</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4 消防车道靠建筑外墙一侧的边缘距离建筑外墙不宜小于5m；</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5 消防车道的坡度不宜大于8%。</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kern w:val="24"/>
                <w:sz w:val="21"/>
                <w:szCs w:val="21"/>
              </w:rPr>
              <w:t>符合要求</w:t>
            </w:r>
          </w:p>
        </w:tc>
        <w:tc>
          <w:tcPr>
            <w:tcW w:w="1423"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《建筑设计防火规范》7.1.8</w:t>
            </w:r>
          </w:p>
        </w:tc>
        <w:tc>
          <w:tcPr>
            <w:tcW w:w="2030"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净宽度和净空高度均不小于5.0m；靠建筑外墙一侧的边缘距离建筑外墙不小于5m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环形消防车道至少应有两处与其他车道连通。尽头式消防车道应设置回车道或回车场，回车场的面积不应小于12m×12m；对于高层建筑，不宜小于l5m×l5m；供重型消防车使用时，不宜小于18m×18m。</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kern w:val="24"/>
                <w:sz w:val="21"/>
                <w:szCs w:val="21"/>
              </w:rPr>
              <w:t>符合要求</w:t>
            </w:r>
          </w:p>
        </w:tc>
        <w:tc>
          <w:tcPr>
            <w:tcW w:w="1423"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《建筑设计防火规范》7.1.9</w:t>
            </w:r>
          </w:p>
        </w:tc>
        <w:tc>
          <w:tcPr>
            <w:tcW w:w="2030"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环形消防车道至少有两处与其他车道连通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厂房、仓库、储罐（区）和堆场，应设置灭火器。</w:t>
            </w:r>
          </w:p>
        </w:tc>
        <w:tc>
          <w:tcPr>
            <w:tcW w:w="778" w:type="dxa"/>
            <w:tcBorders>
              <w:tl2br w:val="nil"/>
              <w:tr2bl w:val="nil"/>
            </w:tcBorders>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符合要求</w:t>
            </w:r>
          </w:p>
        </w:tc>
        <w:tc>
          <w:tcPr>
            <w:tcW w:w="1423" w:type="dxa"/>
            <w:tcBorders>
              <w:tl2br w:val="nil"/>
              <w:tr2bl w:val="nil"/>
            </w:tcBorders>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《建筑设计防火规范》</w:t>
            </w:r>
          </w:p>
        </w:tc>
        <w:tc>
          <w:tcPr>
            <w:tcW w:w="2030"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按设计要求设置灭火器。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建筑物室外消火栓设计流量不应小于表 3.3.2 的规定。</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建筑物室内消火栓设计流量不应小于表 3.5.2 的规定。</w:t>
            </w:r>
          </w:p>
        </w:tc>
        <w:tc>
          <w:tcPr>
            <w:tcW w:w="778" w:type="dxa"/>
            <w:tcBorders>
              <w:tl2br w:val="nil"/>
              <w:tr2bl w:val="nil"/>
            </w:tcBorders>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符合</w:t>
            </w:r>
          </w:p>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要求</w:t>
            </w:r>
          </w:p>
        </w:tc>
        <w:tc>
          <w:tcPr>
            <w:tcW w:w="1423" w:type="dxa"/>
            <w:tcBorders>
              <w:tl2br w:val="nil"/>
              <w:tr2bl w:val="nil"/>
            </w:tcBorders>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《消防给水及消火栓系统技术规范》3.3.2、3.5.2</w:t>
            </w:r>
          </w:p>
        </w:tc>
        <w:tc>
          <w:tcPr>
            <w:tcW w:w="2030"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设有消防泵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不同场所消火栓系统和固定冷却水系统的火灾延续时间不应小于表 3.6.2 的规定</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kern w:val="24"/>
                <w:sz w:val="21"/>
                <w:szCs w:val="21"/>
              </w:rPr>
              <w:t>符合要求</w:t>
            </w:r>
          </w:p>
        </w:tc>
        <w:tc>
          <w:tcPr>
            <w:tcW w:w="1423"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《消防给水及消火栓系统技术规范》3.6.2</w:t>
            </w:r>
          </w:p>
        </w:tc>
        <w:tc>
          <w:tcPr>
            <w:tcW w:w="20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kern w:val="24"/>
                <w:sz w:val="21"/>
                <w:szCs w:val="21"/>
              </w:rPr>
              <w:t>按规范要求设置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室内消火栓宜按行走距离计算其布置间距，并应符合下列规定：</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1 消火栓按 2 支消防水枪的 2 股充实水柱布置的高层建筑、高架仓库、甲乙类工业厂房等场所，消火栓的布置间距不应大于 30m；</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2 消火栓按 1 支消防水枪的一股充实水柱布置的的建筑物，消火栓的布置间距不应大于 50m。</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kern w:val="24"/>
                <w:sz w:val="21"/>
                <w:szCs w:val="21"/>
              </w:rPr>
              <w:t>符合要求</w:t>
            </w:r>
          </w:p>
        </w:tc>
        <w:tc>
          <w:tcPr>
            <w:tcW w:w="1423"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《消防给水及消火栓系统技术规范》7.4.10</w:t>
            </w:r>
          </w:p>
        </w:tc>
        <w:tc>
          <w:tcPr>
            <w:tcW w:w="20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按间距不大于30m设置室内消火栓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生产、储存或使用有毒有害等危害土壤和水体生态环境的场所，应设置消防事故水池。</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kern w:val="24"/>
                <w:sz w:val="21"/>
                <w:szCs w:val="21"/>
              </w:rPr>
              <w:t>符合要求</w:t>
            </w:r>
          </w:p>
        </w:tc>
        <w:tc>
          <w:tcPr>
            <w:tcW w:w="1423" w:type="dxa"/>
            <w:tcBorders>
              <w:tl2br w:val="nil"/>
              <w:tr2bl w:val="nil"/>
            </w:tcBorders>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《消防给水及消火栓系统技术规范》9.1.2</w:t>
            </w:r>
          </w:p>
        </w:tc>
        <w:tc>
          <w:tcPr>
            <w:tcW w:w="20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设置事故应急池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有毒有害危险场所应采取消防排水收集、储存措施。</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kern w:val="24"/>
                <w:sz w:val="21"/>
                <w:szCs w:val="21"/>
              </w:rPr>
              <w:t>符合要求</w:t>
            </w:r>
          </w:p>
        </w:tc>
        <w:tc>
          <w:tcPr>
            <w:tcW w:w="1423"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《消防给水及消火栓系统技术规范》9.3.1</w:t>
            </w:r>
          </w:p>
        </w:tc>
        <w:tc>
          <w:tcPr>
            <w:tcW w:w="203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采取消防排水收集、储存措施。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建筑内消防应急照明和灯光疏散指示标志的备用电源的连续供电时间应符合下列规定：</w:t>
            </w:r>
          </w:p>
          <w:p>
            <w:pPr>
              <w:keepNext w:val="0"/>
              <w:keepLines w:val="0"/>
              <w:pageBreakBefore w:val="0"/>
              <w:widowControl w:val="0"/>
              <w:kinsoku/>
              <w:wordWrap/>
              <w:overflowPunct/>
              <w:topLinePunct w:val="0"/>
              <w:autoSpaceDE w:val="0"/>
              <w:autoSpaceDN w:val="0"/>
              <w:bidi w:val="0"/>
              <w:adjustRightInd w:val="0"/>
              <w:snapToGrid/>
              <w:spacing w:line="34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1 建筑高度大于100m的民用建筑，不应小于1.5h；</w:t>
            </w:r>
          </w:p>
          <w:p>
            <w:pPr>
              <w:keepNext w:val="0"/>
              <w:keepLines w:val="0"/>
              <w:pageBreakBefore w:val="0"/>
              <w:widowControl w:val="0"/>
              <w:kinsoku/>
              <w:wordWrap/>
              <w:overflowPunct/>
              <w:topLinePunct w:val="0"/>
              <w:autoSpaceDE w:val="0"/>
              <w:autoSpaceDN w:val="0"/>
              <w:bidi w:val="0"/>
              <w:adjustRightInd w:val="0"/>
              <w:snapToGrid/>
              <w:spacing w:line="34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2 医疗建筑、老年人建筑、总建筑面积大于100000m</w:t>
            </w:r>
            <w:r>
              <w:rPr>
                <w:rFonts w:hint="default" w:ascii="Times New Roman" w:hAnsi="Times New Roman" w:cs="Times New Roman"/>
                <w:sz w:val="21"/>
                <w:szCs w:val="21"/>
                <w:vertAlign w:val="superscript"/>
              </w:rPr>
              <w:t xml:space="preserve">2 </w:t>
            </w:r>
            <w:r>
              <w:rPr>
                <w:rFonts w:hint="default" w:ascii="Times New Roman" w:hAnsi="Times New Roman" w:cs="Times New Roman"/>
                <w:sz w:val="21"/>
                <w:szCs w:val="21"/>
              </w:rPr>
              <w:t>的公共建筑，不应少于1.0h；</w:t>
            </w:r>
          </w:p>
          <w:p>
            <w:pPr>
              <w:keepNext w:val="0"/>
              <w:keepLines w:val="0"/>
              <w:pageBreakBefore w:val="0"/>
              <w:widowControl w:val="0"/>
              <w:kinsoku/>
              <w:wordWrap/>
              <w:overflowPunct/>
              <w:topLinePunct w:val="0"/>
              <w:autoSpaceDE w:val="0"/>
              <w:autoSpaceDN w:val="0"/>
              <w:bidi w:val="0"/>
              <w:adjustRightInd w:val="0"/>
              <w:snapToGrid/>
              <w:spacing w:line="34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3 其他建筑，不应少于0.5h。</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kern w:val="24"/>
                <w:sz w:val="21"/>
                <w:szCs w:val="21"/>
              </w:rPr>
              <w:t>符合要求</w:t>
            </w:r>
          </w:p>
        </w:tc>
        <w:tc>
          <w:tcPr>
            <w:tcW w:w="1423"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《建筑设计防火规范》10.1.5</w:t>
            </w:r>
          </w:p>
        </w:tc>
        <w:tc>
          <w:tcPr>
            <w:tcW w:w="2030"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设置的消防安全疏散指示标志和应急照明设施，供电时间不小于30分钟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4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一个灭火器配置场所内的灭火器不应少于2具。每个设置点的灭火器不宜多于5具。</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kern w:val="24"/>
                <w:sz w:val="21"/>
                <w:szCs w:val="21"/>
              </w:rPr>
            </w:pPr>
            <w:r>
              <w:rPr>
                <w:rFonts w:hint="default" w:ascii="Times New Roman" w:hAnsi="Times New Roman" w:cs="Times New Roman"/>
                <w:sz w:val="21"/>
                <w:szCs w:val="21"/>
              </w:rPr>
              <w:t>不符合要求</w:t>
            </w:r>
          </w:p>
        </w:tc>
        <w:tc>
          <w:tcPr>
            <w:tcW w:w="1423"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《建筑灭火器配置设计规范》</w:t>
            </w:r>
          </w:p>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第4.0.7条</w:t>
            </w:r>
          </w:p>
        </w:tc>
        <w:tc>
          <w:tcPr>
            <w:tcW w:w="2030"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left"/>
              <w:textAlignment w:val="auto"/>
              <w:rPr>
                <w:rFonts w:hint="default" w:ascii="Times New Roman" w:hAnsi="Times New Roman" w:cs="Times New Roman"/>
                <w:sz w:val="21"/>
                <w:szCs w:val="21"/>
                <w:highlight w:val="yellow"/>
              </w:rPr>
            </w:pPr>
            <w:r>
              <w:rPr>
                <w:rFonts w:hint="default" w:ascii="Times New Roman" w:hAnsi="Times New Roman" w:cs="Times New Roman"/>
                <w:sz w:val="21"/>
                <w:szCs w:val="21"/>
                <w:lang w:val="en-US" w:eastAsia="zh-CN"/>
              </w:rPr>
              <w:t>105烘干车间</w:t>
            </w:r>
            <w:r>
              <w:rPr>
                <w:rFonts w:hint="default" w:ascii="Times New Roman" w:hAnsi="Times New Roman" w:cs="Times New Roman"/>
                <w:sz w:val="21"/>
                <w:szCs w:val="21"/>
              </w:rPr>
              <w:t>未设置灭火器。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灭火器不宜设置在潮湿或强腐蚀性的地点。当必须设置时，应有相应的保护措施。灭火器设置在室外时，应有相应的保护措施。</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423"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《建筑灭火器配置设计规范》</w:t>
            </w:r>
          </w:p>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5.1.4条</w:t>
            </w:r>
          </w:p>
        </w:tc>
        <w:tc>
          <w:tcPr>
            <w:tcW w:w="2030"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灭火器未设置在潮湿或强腐蚀性的地点。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灭火器的摆放应稳固，其铭牌应朝外。手提式灭火器宜设置在灭火器箱内或挂钩、托架上，其顶部离地面高度不应大于1.50m；底部离地面高度不宜小于0.08m。灭火器箱不得上锁。</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423"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《建筑灭火器配置设计规范》</w:t>
            </w:r>
          </w:p>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5.1.3条</w:t>
            </w:r>
          </w:p>
        </w:tc>
        <w:tc>
          <w:tcPr>
            <w:tcW w:w="2030"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灭火器的摆放稳固，其铭牌朝外。手提式灭火器设置在灭火器箱内或挂钩、托架上，其顶部离地面高度小于1.50m；底部离地面高度大于0.1m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灭火器不得设置在超出其使用温度范围的地点。</w:t>
            </w:r>
          </w:p>
        </w:tc>
        <w:tc>
          <w:tcPr>
            <w:tcW w:w="778"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423"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《建筑灭火器配置设计规范》</w:t>
            </w:r>
          </w:p>
          <w:p>
            <w:pPr>
              <w:keepNext w:val="0"/>
              <w:keepLines w:val="0"/>
              <w:pageBreakBefore w:val="0"/>
              <w:widowControl w:val="0"/>
              <w:kinsoku/>
              <w:wordWrap/>
              <w:overflowPunct/>
              <w:topLinePunct w:val="0"/>
              <w:bidi w:val="0"/>
              <w:snapToGrid/>
              <w:spacing w:line="3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第5.1.5条</w:t>
            </w:r>
          </w:p>
        </w:tc>
        <w:tc>
          <w:tcPr>
            <w:tcW w:w="2030"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textAlignment w:val="auto"/>
              <w:rPr>
                <w:rFonts w:hint="default" w:ascii="Times New Roman" w:hAnsi="Times New Roman" w:cs="Times New Roman"/>
                <w:spacing w:val="-8"/>
                <w:sz w:val="21"/>
                <w:szCs w:val="21"/>
              </w:rPr>
            </w:pPr>
            <w:r>
              <w:rPr>
                <w:rFonts w:hint="default" w:ascii="Times New Roman" w:hAnsi="Times New Roman" w:cs="Times New Roman"/>
                <w:spacing w:val="-8"/>
                <w:sz w:val="21"/>
                <w:szCs w:val="21"/>
              </w:rPr>
              <w:t>灭火器未设置在超出其使用温度范围的地点。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消防安全标志应设在与消防安全有关的醒目的位置。标志的正面或其邻近不得有妨碍公共视读的障碍物。  </w:t>
            </w:r>
          </w:p>
        </w:tc>
        <w:tc>
          <w:tcPr>
            <w:tcW w:w="778" w:type="dxa"/>
            <w:tcBorders>
              <w:tl2br w:val="nil"/>
              <w:tr2bl w:val="nil"/>
            </w:tcBorders>
          </w:tcPr>
          <w:p>
            <w:pPr>
              <w:keepNext w:val="0"/>
              <w:keepLines w:val="0"/>
              <w:pageBreakBefore w:val="0"/>
              <w:widowControl w:val="0"/>
              <w:kinsoku/>
              <w:wordWrap/>
              <w:overflowPunct/>
              <w:topLinePunct w:val="0"/>
              <w:bidi w:val="0"/>
              <w:snapToGrid/>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423" w:type="dxa"/>
            <w:tcBorders>
              <w:tl2br w:val="nil"/>
              <w:tr2bl w:val="nil"/>
            </w:tcBorders>
          </w:tcPr>
          <w:p>
            <w:pPr>
              <w:keepNext w:val="0"/>
              <w:keepLines w:val="0"/>
              <w:pageBreakBefore w:val="0"/>
              <w:widowControl w:val="0"/>
              <w:kinsoku/>
              <w:wordWrap/>
              <w:overflowPunct/>
              <w:topLinePunct w:val="0"/>
              <w:bidi w:val="0"/>
              <w:snapToGrid/>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《消防安全标志设置要求》6.1</w:t>
            </w:r>
          </w:p>
        </w:tc>
        <w:tc>
          <w:tcPr>
            <w:tcW w:w="2030"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消防安全标志设在与消防安全有关的醒目的位置。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06" w:type="dxa"/>
            <w:tcBorders>
              <w:tl2br w:val="nil"/>
              <w:tr2bl w:val="nil"/>
            </w:tcBorders>
            <w:vAlign w:val="center"/>
          </w:tcPr>
          <w:p>
            <w:pPr>
              <w:keepNext w:val="0"/>
              <w:keepLines w:val="0"/>
              <w:pageBreakBefore w:val="0"/>
              <w:widowControl w:val="0"/>
              <w:numPr>
                <w:ilvl w:val="0"/>
                <w:numId w:val="33"/>
              </w:numPr>
              <w:kinsoku/>
              <w:wordWrap/>
              <w:overflowPunct/>
              <w:topLinePunct w:val="0"/>
              <w:bidi w:val="0"/>
              <w:snapToGrid/>
              <w:spacing w:line="340" w:lineRule="exact"/>
              <w:jc w:val="center"/>
              <w:textAlignment w:val="auto"/>
              <w:rPr>
                <w:rFonts w:hint="default" w:ascii="Times New Roman" w:hAnsi="Times New Roman" w:cs="Times New Roman"/>
                <w:sz w:val="21"/>
                <w:szCs w:val="21"/>
              </w:rPr>
            </w:pPr>
          </w:p>
        </w:tc>
        <w:tc>
          <w:tcPr>
            <w:tcW w:w="4649"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除必须外，标志一般不应设置在门、窗、架等可移动的物体上，也不应设置在经常被其它物体遮挡的地方</w:t>
            </w:r>
          </w:p>
        </w:tc>
        <w:tc>
          <w:tcPr>
            <w:tcW w:w="778" w:type="dxa"/>
            <w:tcBorders>
              <w:tl2br w:val="nil"/>
              <w:tr2bl w:val="nil"/>
            </w:tcBorders>
          </w:tcPr>
          <w:p>
            <w:pPr>
              <w:keepNext w:val="0"/>
              <w:keepLines w:val="0"/>
              <w:pageBreakBefore w:val="0"/>
              <w:widowControl w:val="0"/>
              <w:kinsoku/>
              <w:wordWrap/>
              <w:overflowPunct/>
              <w:topLinePunct w:val="0"/>
              <w:bidi w:val="0"/>
              <w:snapToGrid/>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符合要求</w:t>
            </w:r>
          </w:p>
        </w:tc>
        <w:tc>
          <w:tcPr>
            <w:tcW w:w="1423" w:type="dxa"/>
            <w:tcBorders>
              <w:tl2br w:val="nil"/>
              <w:tr2bl w:val="nil"/>
            </w:tcBorders>
          </w:tcPr>
          <w:p>
            <w:pPr>
              <w:keepNext w:val="0"/>
              <w:keepLines w:val="0"/>
              <w:pageBreakBefore w:val="0"/>
              <w:widowControl w:val="0"/>
              <w:kinsoku/>
              <w:wordWrap/>
              <w:overflowPunct/>
              <w:topLinePunct w:val="0"/>
              <w:bidi w:val="0"/>
              <w:snapToGrid/>
              <w:spacing w:line="34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《消防安全标志设置要求》6.2</w:t>
            </w:r>
          </w:p>
        </w:tc>
        <w:tc>
          <w:tcPr>
            <w:tcW w:w="2030" w:type="dxa"/>
            <w:tcBorders>
              <w:tl2br w:val="nil"/>
              <w:tr2bl w:val="nil"/>
            </w:tcBorders>
            <w:vAlign w:val="center"/>
          </w:tcPr>
          <w:p>
            <w:pPr>
              <w:keepNext w:val="0"/>
              <w:keepLines w:val="0"/>
              <w:pageBreakBefore w:val="0"/>
              <w:widowControl w:val="0"/>
              <w:kinsoku/>
              <w:wordWrap/>
              <w:overflowPunct/>
              <w:topLinePunct w:val="0"/>
              <w:bidi w:val="0"/>
              <w:snapToGrid/>
              <w:spacing w:line="34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消防安全标志设在醒目的固定位置，</w:t>
            </w:r>
          </w:p>
        </w:tc>
      </w:tr>
    </w:tbl>
    <w:p>
      <w:pPr>
        <w:ind w:firstLine="560" w:firstLineChars="200"/>
        <w:rPr>
          <w:rFonts w:hint="default" w:ascii="Times New Roman" w:hAnsi="Times New Roman" w:eastAsia="宋体" w:cs="Times New Roman"/>
          <w:lang w:val="en-US" w:eastAsia="zh-CN"/>
        </w:rPr>
      </w:pPr>
      <w:r>
        <w:rPr>
          <w:rFonts w:hint="default" w:ascii="Times New Roman" w:hAnsi="Times New Roman" w:cs="Times New Roman"/>
        </w:rPr>
        <w:t>单元评价小结</w:t>
      </w:r>
      <w:r>
        <w:rPr>
          <w:rFonts w:hint="default" w:ascii="Times New Roman" w:hAnsi="Times New Roman" w:cs="Times New Roman"/>
          <w:lang w:val="en-US" w:eastAsia="zh-CN"/>
        </w:rPr>
        <w:t>:</w:t>
      </w:r>
    </w:p>
    <w:p>
      <w:pPr>
        <w:ind w:firstLine="560" w:firstLineChars="200"/>
        <w:rPr>
          <w:rFonts w:hint="default" w:ascii="Times New Roman" w:hAnsi="Times New Roman" w:cs="Times New Roman"/>
        </w:rPr>
      </w:pPr>
      <w:r>
        <w:rPr>
          <w:rFonts w:hint="default" w:ascii="Times New Roman" w:hAnsi="Times New Roman" w:cs="Times New Roman"/>
        </w:rPr>
        <w:t>对该单元采用安全检查表法分析，共进行了2</w:t>
      </w:r>
      <w:r>
        <w:rPr>
          <w:rFonts w:hint="default" w:ascii="Times New Roman" w:hAnsi="Times New Roman" w:cs="Times New Roman"/>
          <w:lang w:val="en-US" w:eastAsia="zh-CN"/>
        </w:rPr>
        <w:t>1</w:t>
      </w:r>
      <w:r>
        <w:rPr>
          <w:rFonts w:hint="default" w:ascii="Times New Roman" w:hAnsi="Times New Roman" w:cs="Times New Roman"/>
        </w:rPr>
        <w:t>项内容的检查分析，1项不符合项：</w:t>
      </w:r>
      <w:r>
        <w:rPr>
          <w:rFonts w:hint="default" w:ascii="Times New Roman" w:hAnsi="Times New Roman" w:cs="Times New Roman"/>
          <w:lang w:val="en-US" w:eastAsia="zh-CN"/>
        </w:rPr>
        <w:t>105烘干车间</w:t>
      </w:r>
      <w:r>
        <w:rPr>
          <w:rFonts w:hint="default" w:ascii="Times New Roman" w:hAnsi="Times New Roman" w:cs="Times New Roman"/>
        </w:rPr>
        <w:t>未设置灭火器。</w:t>
      </w:r>
    </w:p>
    <w:p>
      <w:pPr>
        <w:pStyle w:val="4"/>
        <w:rPr>
          <w:rFonts w:hint="default" w:ascii="Times New Roman" w:hAnsi="Times New Roman" w:cs="Times New Roman"/>
        </w:rPr>
      </w:pPr>
      <w:bookmarkStart w:id="146" w:name="_Toc344729262"/>
      <w:bookmarkStart w:id="147" w:name="_Toc324927847"/>
      <w:bookmarkStart w:id="148" w:name="_Toc344546322"/>
      <w:bookmarkStart w:id="149" w:name="_Toc233008063"/>
      <w:bookmarkStart w:id="150" w:name="_Toc344545372"/>
      <w:bookmarkStart w:id="151" w:name="_Toc3343"/>
      <w:bookmarkStart w:id="152" w:name="_Toc232229255"/>
      <w:bookmarkStart w:id="153" w:name="_Toc377539265"/>
      <w:bookmarkStart w:id="154" w:name="_Toc345192375"/>
      <w:bookmarkStart w:id="155" w:name="_Toc326680844"/>
      <w:bookmarkStart w:id="156" w:name="_Toc6191"/>
      <w:bookmarkStart w:id="157" w:name="_Toc467768570"/>
      <w:bookmarkStart w:id="158" w:name="_Toc400523238"/>
      <w:bookmarkStart w:id="159" w:name="_Toc2395"/>
      <w:bookmarkStart w:id="160" w:name="_Toc240423030"/>
      <w:r>
        <w:rPr>
          <w:rFonts w:hint="default" w:ascii="Times New Roman" w:hAnsi="Times New Roman" w:cs="Times New Roman"/>
        </w:rPr>
        <w:t>C.6安全管理单元</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pPr>
        <w:ind w:firstLine="560" w:firstLineChars="200"/>
        <w:rPr>
          <w:rFonts w:hint="default" w:ascii="Times New Roman" w:hAnsi="Times New Roman" w:cs="Times New Roman"/>
        </w:rPr>
      </w:pPr>
      <w:r>
        <w:rPr>
          <w:rFonts w:hint="default" w:ascii="Times New Roman" w:hAnsi="Times New Roman" w:cs="Times New Roman"/>
        </w:rPr>
        <w:t>1.安全检查表法分析评价</w:t>
      </w:r>
    </w:p>
    <w:p>
      <w:pPr>
        <w:ind w:firstLine="560" w:firstLineChars="200"/>
        <w:rPr>
          <w:rFonts w:hint="default" w:ascii="Times New Roman" w:hAnsi="Times New Roman" w:cs="Times New Roman"/>
        </w:rPr>
      </w:pPr>
      <w:r>
        <w:rPr>
          <w:rFonts w:hint="default" w:ascii="Times New Roman" w:hAnsi="Times New Roman" w:cs="Times New Roman"/>
        </w:rPr>
        <w:t>1）评价组根据《生产过程安全卫生要求总则》、《中华人民共和国安全生产法》、《危险化学品生产企业安全生产许可证实施办法》、《江西省安全生产条例》等制定检查表，对该</w:t>
      </w:r>
      <w:r>
        <w:rPr>
          <w:rFonts w:hint="eastAsia" w:cs="Times New Roman"/>
          <w:lang w:val="en-US" w:eastAsia="zh-CN"/>
        </w:rPr>
        <w:t>企业</w:t>
      </w:r>
      <w:r>
        <w:rPr>
          <w:rFonts w:hint="default" w:ascii="Times New Roman" w:hAnsi="Times New Roman" w:cs="Times New Roman"/>
        </w:rPr>
        <w:t>的安全管理情况是否符合规范、标准的要求进行评价，评价结果见下表。</w:t>
      </w:r>
    </w:p>
    <w:p>
      <w:pPr>
        <w:ind w:firstLine="560" w:firstLineChars="200"/>
        <w:jc w:val="center"/>
        <w:rPr>
          <w:rFonts w:hint="default" w:ascii="Times New Roman" w:hAnsi="Times New Roman" w:cs="Times New Roman"/>
        </w:rPr>
      </w:pPr>
      <w:r>
        <w:rPr>
          <w:rFonts w:hint="default" w:ascii="Times New Roman" w:hAnsi="Times New Roman" w:cs="Times New Roman"/>
        </w:rPr>
        <w:t>附表C.</w:t>
      </w:r>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lang w:val="en-US" w:eastAsia="zh-CN"/>
        </w:rPr>
        <w:t>7</w:t>
      </w:r>
      <w:r>
        <w:rPr>
          <w:rFonts w:hint="default" w:ascii="Times New Roman" w:hAnsi="Times New Roman" w:cs="Times New Roman"/>
        </w:rPr>
        <w:t xml:space="preserve"> 安全管理单元安全检查表</w:t>
      </w:r>
    </w:p>
    <w:tbl>
      <w:tblPr>
        <w:tblStyle w:val="25"/>
        <w:tblW w:w="9548"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499"/>
        <w:gridCol w:w="4105"/>
        <w:gridCol w:w="653"/>
        <w:gridCol w:w="1716"/>
        <w:gridCol w:w="2575"/>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tcBorders>
              <w:top w:val="single" w:color="auto" w:sz="2"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4105" w:type="dxa"/>
            <w:tcBorders>
              <w:top w:val="single" w:color="auto" w:sz="2"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检查项目和内容</w:t>
            </w:r>
          </w:p>
        </w:tc>
        <w:tc>
          <w:tcPr>
            <w:tcW w:w="653" w:type="dxa"/>
            <w:tcBorders>
              <w:top w:val="single" w:color="auto" w:sz="2" w:space="0"/>
            </w:tcBorders>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检查结果</w:t>
            </w:r>
          </w:p>
        </w:tc>
        <w:tc>
          <w:tcPr>
            <w:tcW w:w="1716" w:type="dxa"/>
            <w:tcBorders>
              <w:top w:val="single" w:color="auto" w:sz="2"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检查依据</w:t>
            </w:r>
          </w:p>
        </w:tc>
        <w:tc>
          <w:tcPr>
            <w:tcW w:w="2575" w:type="dxa"/>
            <w:tcBorders>
              <w:top w:val="single" w:color="auto" w:sz="2"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检查记录</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keepNext w:val="0"/>
              <w:keepLines w:val="0"/>
              <w:pageBreakBefore w:val="0"/>
              <w:widowControl w:val="0"/>
              <w:numPr>
                <w:ilvl w:val="0"/>
                <w:numId w:val="34"/>
              </w:numPr>
              <w:kinsoku/>
              <w:wordWrap/>
              <w:overflowPunct/>
              <w:topLinePunct w:val="0"/>
              <w:autoSpaceDE/>
              <w:autoSpaceDN/>
              <w:bidi w:val="0"/>
              <w:adjustRightInd/>
              <w:snapToGrid/>
              <w:spacing w:line="260" w:lineRule="exact"/>
              <w:textAlignment w:val="auto"/>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企业的营业执照</w:t>
            </w:r>
          </w:p>
        </w:tc>
        <w:tc>
          <w:tcPr>
            <w:tcW w:w="653" w:type="dxa"/>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cs="Times New Roman"/>
                <w:sz w:val="21"/>
                <w:szCs w:val="21"/>
              </w:rPr>
            </w:pPr>
          </w:p>
        </w:tc>
        <w:tc>
          <w:tcPr>
            <w:tcW w:w="2575" w:type="dxa"/>
            <w:vAlign w:val="center"/>
          </w:tcPr>
          <w:p>
            <w:pPr>
              <w:keepNext w:val="0"/>
              <w:keepLines w:val="0"/>
              <w:pageBreakBefore w:val="0"/>
              <w:widowControl w:val="0"/>
              <w:kinsoku/>
              <w:wordWrap/>
              <w:overflowPunct/>
              <w:topLinePunct w:val="0"/>
              <w:autoSpaceDE/>
              <w:autoSpaceDN/>
              <w:bidi w:val="0"/>
              <w:adjustRightInd/>
              <w:snapToGrid/>
              <w:spacing w:line="324" w:lineRule="exact"/>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登记机关为上饶市广丰区市场和质量监督管理局</w:t>
            </w:r>
            <w:r>
              <w:rPr>
                <w:rFonts w:hint="default" w:ascii="Times New Roman" w:hAnsi="Times New Roman" w:cs="Times New Roman"/>
                <w:sz w:val="21"/>
                <w:szCs w:val="21"/>
                <w:lang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keepNext w:val="0"/>
              <w:keepLines w:val="0"/>
              <w:pageBreakBefore w:val="0"/>
              <w:widowControl w:val="0"/>
              <w:numPr>
                <w:ilvl w:val="0"/>
                <w:numId w:val="34"/>
              </w:numPr>
              <w:kinsoku/>
              <w:wordWrap/>
              <w:overflowPunct/>
              <w:topLinePunct w:val="0"/>
              <w:autoSpaceDE/>
              <w:autoSpaceDN/>
              <w:bidi w:val="0"/>
              <w:adjustRightInd/>
              <w:snapToGrid/>
              <w:spacing w:line="260" w:lineRule="exact"/>
              <w:textAlignment w:val="auto"/>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危险化学品登记证</w:t>
            </w:r>
          </w:p>
        </w:tc>
        <w:tc>
          <w:tcPr>
            <w:tcW w:w="653" w:type="dxa"/>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vAlign w:val="center"/>
          </w:tcPr>
          <w:p>
            <w:pPr>
              <w:keepNext w:val="0"/>
              <w:keepLines w:val="0"/>
              <w:pageBreakBefore w:val="0"/>
              <w:widowControl w:val="0"/>
              <w:kinsoku/>
              <w:wordWrap/>
              <w:overflowPunct/>
              <w:topLinePunct w:val="0"/>
              <w:autoSpaceDE/>
              <w:autoSpaceDN/>
              <w:bidi w:val="0"/>
              <w:adjustRightInd/>
              <w:snapToGrid/>
              <w:spacing w:line="324" w:lineRule="exact"/>
              <w:ind w:left="-35" w:leftChars="-50" w:right="-112" w:rightChars="-40" w:hanging="105" w:hangingChars="5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《危险化学品登记管理办法》</w:t>
            </w:r>
          </w:p>
        </w:tc>
        <w:tc>
          <w:tcPr>
            <w:tcW w:w="2575" w:type="dxa"/>
            <w:vAlign w:val="center"/>
          </w:tcPr>
          <w:p>
            <w:pPr>
              <w:keepNext w:val="0"/>
              <w:keepLines w:val="0"/>
              <w:pageBreakBefore w:val="0"/>
              <w:widowControl w:val="0"/>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已</w:t>
            </w:r>
            <w:r>
              <w:rPr>
                <w:rFonts w:hint="default" w:ascii="Times New Roman" w:hAnsi="Times New Roman" w:cs="Times New Roman"/>
                <w:sz w:val="21"/>
                <w:szCs w:val="21"/>
                <w:lang w:val="en-US" w:eastAsia="zh-CN"/>
              </w:rPr>
              <w:t>办理</w:t>
            </w:r>
            <w:r>
              <w:rPr>
                <w:rFonts w:hint="default" w:ascii="Times New Roman" w:hAnsi="Times New Roman" w:cs="Times New Roman"/>
                <w:sz w:val="21"/>
                <w:szCs w:val="21"/>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keepNext w:val="0"/>
              <w:keepLines w:val="0"/>
              <w:pageBreakBefore w:val="0"/>
              <w:widowControl w:val="0"/>
              <w:numPr>
                <w:ilvl w:val="0"/>
                <w:numId w:val="34"/>
              </w:numPr>
              <w:kinsoku/>
              <w:wordWrap/>
              <w:overflowPunct/>
              <w:topLinePunct w:val="0"/>
              <w:autoSpaceDE/>
              <w:autoSpaceDN/>
              <w:bidi w:val="0"/>
              <w:adjustRightInd/>
              <w:snapToGrid/>
              <w:spacing w:line="260" w:lineRule="exact"/>
              <w:textAlignment w:val="auto"/>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易制毒品、剧毒品备案文件</w:t>
            </w:r>
          </w:p>
        </w:tc>
        <w:tc>
          <w:tcPr>
            <w:tcW w:w="653" w:type="dxa"/>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vAlign w:val="center"/>
          </w:tcPr>
          <w:p>
            <w:pPr>
              <w:keepNext w:val="0"/>
              <w:keepLines w:val="0"/>
              <w:pageBreakBefore w:val="0"/>
              <w:widowControl w:val="0"/>
              <w:kinsoku/>
              <w:wordWrap/>
              <w:overflowPunct/>
              <w:topLinePunct w:val="0"/>
              <w:autoSpaceDE/>
              <w:autoSpaceDN/>
              <w:bidi w:val="0"/>
              <w:adjustRightInd/>
              <w:snapToGrid/>
              <w:spacing w:line="324" w:lineRule="exact"/>
              <w:ind w:left="-35" w:leftChars="-50" w:right="-112" w:rightChars="-40" w:hanging="105" w:hangingChars="50"/>
              <w:jc w:val="center"/>
              <w:textAlignment w:val="auto"/>
              <w:rPr>
                <w:rFonts w:hint="default" w:ascii="Times New Roman" w:hAnsi="Times New Roman" w:cs="Times New Roman"/>
                <w:sz w:val="21"/>
                <w:szCs w:val="21"/>
              </w:rPr>
            </w:pPr>
          </w:p>
        </w:tc>
        <w:tc>
          <w:tcPr>
            <w:tcW w:w="2575" w:type="dxa"/>
            <w:vAlign w:val="center"/>
          </w:tcPr>
          <w:p>
            <w:pPr>
              <w:keepNext w:val="0"/>
              <w:keepLines w:val="0"/>
              <w:pageBreakBefore w:val="0"/>
              <w:widowControl w:val="0"/>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不涉及。</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keepNext w:val="0"/>
              <w:keepLines w:val="0"/>
              <w:pageBreakBefore w:val="0"/>
              <w:widowControl w:val="0"/>
              <w:numPr>
                <w:ilvl w:val="0"/>
                <w:numId w:val="34"/>
              </w:numPr>
              <w:kinsoku/>
              <w:wordWrap/>
              <w:overflowPunct/>
              <w:topLinePunct w:val="0"/>
              <w:autoSpaceDE/>
              <w:autoSpaceDN/>
              <w:bidi w:val="0"/>
              <w:adjustRightInd/>
              <w:snapToGrid/>
              <w:spacing w:line="260" w:lineRule="exact"/>
              <w:textAlignment w:val="auto"/>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项目建设用地批复文件</w:t>
            </w:r>
          </w:p>
        </w:tc>
        <w:tc>
          <w:tcPr>
            <w:tcW w:w="653" w:type="dxa"/>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cs="Times New Roman"/>
                <w:sz w:val="21"/>
                <w:szCs w:val="21"/>
              </w:rPr>
            </w:pPr>
          </w:p>
        </w:tc>
        <w:tc>
          <w:tcPr>
            <w:tcW w:w="2575" w:type="dxa"/>
            <w:vAlign w:val="center"/>
          </w:tcPr>
          <w:p>
            <w:pPr>
              <w:keepNext w:val="0"/>
              <w:keepLines w:val="0"/>
              <w:pageBreakBefore w:val="0"/>
              <w:widowControl w:val="0"/>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提供了土地证。</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keepNext w:val="0"/>
              <w:keepLines w:val="0"/>
              <w:pageBreakBefore w:val="0"/>
              <w:widowControl w:val="0"/>
              <w:numPr>
                <w:ilvl w:val="0"/>
                <w:numId w:val="34"/>
              </w:numPr>
              <w:kinsoku/>
              <w:wordWrap/>
              <w:overflowPunct/>
              <w:topLinePunct w:val="0"/>
              <w:autoSpaceDE/>
              <w:autoSpaceDN/>
              <w:bidi w:val="0"/>
              <w:adjustRightInd/>
              <w:snapToGrid/>
              <w:spacing w:line="260" w:lineRule="exact"/>
              <w:textAlignment w:val="auto"/>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消防验收意见书。</w:t>
            </w:r>
          </w:p>
        </w:tc>
        <w:tc>
          <w:tcPr>
            <w:tcW w:w="653" w:type="dxa"/>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《消防法》</w:t>
            </w:r>
          </w:p>
        </w:tc>
        <w:tc>
          <w:tcPr>
            <w:tcW w:w="2575" w:type="dxa"/>
            <w:vAlign w:val="center"/>
          </w:tcPr>
          <w:p>
            <w:pPr>
              <w:keepNext w:val="0"/>
              <w:keepLines w:val="0"/>
              <w:pageBreakBefore w:val="0"/>
              <w:widowControl w:val="0"/>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出具了消防设计审核意见书。</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keepNext w:val="0"/>
              <w:keepLines w:val="0"/>
              <w:pageBreakBefore w:val="0"/>
              <w:widowControl w:val="0"/>
              <w:numPr>
                <w:ilvl w:val="0"/>
                <w:numId w:val="34"/>
              </w:numPr>
              <w:kinsoku/>
              <w:wordWrap/>
              <w:overflowPunct/>
              <w:topLinePunct w:val="0"/>
              <w:autoSpaceDE/>
              <w:autoSpaceDN/>
              <w:bidi w:val="0"/>
              <w:adjustRightInd/>
              <w:snapToGrid/>
              <w:spacing w:line="260" w:lineRule="exact"/>
              <w:textAlignment w:val="auto"/>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应急救援预案备案文件</w:t>
            </w:r>
          </w:p>
        </w:tc>
        <w:tc>
          <w:tcPr>
            <w:tcW w:w="653" w:type="dxa"/>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《生产安全事故应急预案管理办法》</w:t>
            </w:r>
          </w:p>
        </w:tc>
        <w:tc>
          <w:tcPr>
            <w:tcW w:w="2575" w:type="dxa"/>
            <w:vAlign w:val="center"/>
          </w:tcPr>
          <w:p>
            <w:pPr>
              <w:keepNext w:val="0"/>
              <w:keepLines w:val="0"/>
              <w:pageBreakBefore w:val="0"/>
              <w:widowControl w:val="0"/>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已备案。</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keepNext w:val="0"/>
              <w:keepLines w:val="0"/>
              <w:pageBreakBefore w:val="0"/>
              <w:widowControl w:val="0"/>
              <w:numPr>
                <w:ilvl w:val="0"/>
                <w:numId w:val="34"/>
              </w:numPr>
              <w:kinsoku/>
              <w:wordWrap/>
              <w:overflowPunct/>
              <w:topLinePunct w:val="0"/>
              <w:autoSpaceDE/>
              <w:autoSpaceDN/>
              <w:bidi w:val="0"/>
              <w:adjustRightInd/>
              <w:snapToGrid/>
              <w:spacing w:line="260" w:lineRule="exact"/>
              <w:textAlignment w:val="auto"/>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防雷设施定期进行检测</w:t>
            </w:r>
          </w:p>
        </w:tc>
        <w:tc>
          <w:tcPr>
            <w:tcW w:w="653" w:type="dxa"/>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vAlign w:val="center"/>
          </w:tcPr>
          <w:p>
            <w:pPr>
              <w:keepNext w:val="0"/>
              <w:keepLines w:val="0"/>
              <w:pageBreakBefore w:val="0"/>
              <w:widowControl w:val="0"/>
              <w:tabs>
                <w:tab w:val="left" w:pos="720"/>
              </w:tabs>
              <w:kinsoku/>
              <w:wordWrap/>
              <w:overflowPunct/>
              <w:topLinePunct w:val="0"/>
              <w:autoSpaceDE/>
              <w:autoSpaceDN/>
              <w:bidi w:val="0"/>
              <w:adjustRightInd/>
              <w:snapToGrid/>
              <w:spacing w:line="324"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《建筑物防雷设计规范》</w:t>
            </w:r>
          </w:p>
        </w:tc>
        <w:tc>
          <w:tcPr>
            <w:tcW w:w="2575" w:type="dxa"/>
            <w:vAlign w:val="center"/>
          </w:tcPr>
          <w:p>
            <w:pPr>
              <w:keepNext w:val="0"/>
              <w:keepLines w:val="0"/>
              <w:pageBreakBefore w:val="0"/>
              <w:widowControl w:val="0"/>
              <w:tabs>
                <w:tab w:val="left" w:pos="720"/>
              </w:tabs>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已检测。</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keepNext w:val="0"/>
              <w:keepLines w:val="0"/>
              <w:pageBreakBefore w:val="0"/>
              <w:widowControl w:val="0"/>
              <w:numPr>
                <w:ilvl w:val="0"/>
                <w:numId w:val="34"/>
              </w:numPr>
              <w:kinsoku/>
              <w:wordWrap/>
              <w:overflowPunct/>
              <w:topLinePunct w:val="0"/>
              <w:autoSpaceDE/>
              <w:autoSpaceDN/>
              <w:bidi w:val="0"/>
              <w:adjustRightInd/>
              <w:snapToGrid/>
              <w:spacing w:line="260" w:lineRule="exact"/>
              <w:textAlignment w:val="auto"/>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消防器材定期检查、检验或更换</w:t>
            </w:r>
          </w:p>
        </w:tc>
        <w:tc>
          <w:tcPr>
            <w:tcW w:w="653" w:type="dxa"/>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vAlign w:val="center"/>
          </w:tcPr>
          <w:p>
            <w:pPr>
              <w:keepNext w:val="0"/>
              <w:keepLines w:val="0"/>
              <w:pageBreakBefore w:val="0"/>
              <w:widowControl w:val="0"/>
              <w:tabs>
                <w:tab w:val="left" w:pos="720"/>
              </w:tabs>
              <w:kinsoku/>
              <w:wordWrap/>
              <w:overflowPunct/>
              <w:topLinePunct w:val="0"/>
              <w:autoSpaceDE/>
              <w:autoSpaceDN/>
              <w:bidi w:val="0"/>
              <w:adjustRightInd/>
              <w:snapToGrid/>
              <w:spacing w:line="324" w:lineRule="exact"/>
              <w:jc w:val="center"/>
              <w:textAlignment w:val="auto"/>
              <w:rPr>
                <w:rFonts w:hint="default" w:ascii="Times New Roman" w:hAnsi="Times New Roman" w:eastAsia="黑体" w:cs="Times New Roman"/>
                <w:b/>
                <w:bCs/>
                <w:sz w:val="21"/>
                <w:szCs w:val="21"/>
              </w:rPr>
            </w:pPr>
            <w:r>
              <w:rPr>
                <w:rFonts w:hint="default" w:ascii="Times New Roman" w:hAnsi="Times New Roman" w:cs="Times New Roman"/>
                <w:sz w:val="21"/>
                <w:szCs w:val="21"/>
              </w:rPr>
              <w:t>《消防法》</w:t>
            </w:r>
          </w:p>
        </w:tc>
        <w:tc>
          <w:tcPr>
            <w:tcW w:w="2575" w:type="dxa"/>
            <w:vAlign w:val="center"/>
          </w:tcPr>
          <w:p>
            <w:pPr>
              <w:keepNext w:val="0"/>
              <w:keepLines w:val="0"/>
              <w:pageBreakBefore w:val="0"/>
              <w:widowControl w:val="0"/>
              <w:tabs>
                <w:tab w:val="left" w:pos="720"/>
              </w:tabs>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定期进行了检查、检验，现场检查全部在有效期内。</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keepNext w:val="0"/>
              <w:keepLines w:val="0"/>
              <w:pageBreakBefore w:val="0"/>
              <w:widowControl w:val="0"/>
              <w:numPr>
                <w:ilvl w:val="0"/>
                <w:numId w:val="34"/>
              </w:numPr>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劳动防护用品应具有生产许可证和合格证并应定期检验。</w:t>
            </w:r>
          </w:p>
        </w:tc>
        <w:tc>
          <w:tcPr>
            <w:tcW w:w="653" w:type="dxa"/>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vAlign w:val="center"/>
          </w:tcPr>
          <w:p>
            <w:pPr>
              <w:keepNext w:val="0"/>
              <w:keepLines w:val="0"/>
              <w:pageBreakBefore w:val="0"/>
              <w:widowControl w:val="0"/>
              <w:tabs>
                <w:tab w:val="left" w:pos="720"/>
              </w:tabs>
              <w:kinsoku/>
              <w:wordWrap/>
              <w:overflowPunct/>
              <w:topLinePunct w:val="0"/>
              <w:autoSpaceDE/>
              <w:autoSpaceDN/>
              <w:bidi w:val="0"/>
              <w:adjustRightInd/>
              <w:snapToGrid/>
              <w:spacing w:line="324" w:lineRule="exact"/>
              <w:jc w:val="center"/>
              <w:textAlignment w:val="auto"/>
              <w:rPr>
                <w:rFonts w:hint="default" w:ascii="Times New Roman" w:hAnsi="Times New Roman" w:eastAsia="黑体" w:cs="Times New Roman"/>
                <w:b/>
                <w:bCs/>
                <w:sz w:val="21"/>
                <w:szCs w:val="21"/>
              </w:rPr>
            </w:pPr>
            <w:r>
              <w:rPr>
                <w:rFonts w:hint="default" w:ascii="Times New Roman" w:hAnsi="Times New Roman" w:cs="Times New Roman"/>
                <w:sz w:val="21"/>
                <w:szCs w:val="21"/>
              </w:rPr>
              <w:t>《劳动保障监察条例》</w:t>
            </w:r>
          </w:p>
        </w:tc>
        <w:tc>
          <w:tcPr>
            <w:tcW w:w="2575" w:type="dxa"/>
            <w:vAlign w:val="center"/>
          </w:tcPr>
          <w:p>
            <w:pPr>
              <w:keepNext w:val="0"/>
              <w:keepLines w:val="0"/>
              <w:pageBreakBefore w:val="0"/>
              <w:widowControl w:val="0"/>
              <w:tabs>
                <w:tab w:val="left" w:pos="720"/>
              </w:tabs>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由国家定点生产企业生产，有合格证。</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经营单位的全员安全生产责任制应当明确各岗位的责任人员、责任范围和考核标准等内容。生产经营单位应当建立相应的机制，加强对全员安全生产责任制落实情况的监督考核，保证全员安全生产责任制的落实。</w:t>
            </w:r>
          </w:p>
        </w:tc>
        <w:tc>
          <w:tcPr>
            <w:tcW w:w="653" w:type="dxa"/>
            <w:vAlign w:val="center"/>
          </w:tcPr>
          <w:p>
            <w:pPr>
              <w:keepNext w:val="0"/>
              <w:keepLines w:val="0"/>
              <w:pageBreakBefore w:val="0"/>
              <w:widowControl w:val="0"/>
              <w:kinsoku/>
              <w:wordWrap/>
              <w:overflowPunct/>
              <w:topLinePunct w:val="0"/>
              <w:autoSpaceDE/>
              <w:autoSpaceDN/>
              <w:bidi w:val="0"/>
              <w:adjustRightInd/>
              <w:snapToGrid/>
              <w:spacing w:line="324"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adjustRightInd/>
              <w:snapToGrid/>
              <w:spacing w:line="324" w:lineRule="exact"/>
              <w:textAlignment w:val="auto"/>
              <w:rPr>
                <w:rFonts w:hint="default" w:ascii="Times New Roman" w:hAnsi="Times New Roman" w:eastAsia="黑体" w:cs="Times New Roman"/>
                <w:b/>
                <w:bCs/>
                <w:sz w:val="21"/>
                <w:szCs w:val="21"/>
              </w:rPr>
            </w:pPr>
            <w:r>
              <w:rPr>
                <w:rFonts w:hint="default" w:ascii="Times New Roman" w:hAnsi="Times New Roman" w:cs="Times New Roman"/>
                <w:sz w:val="21"/>
                <w:szCs w:val="21"/>
              </w:rPr>
              <w:t>《中华人民共和国安全生产法》第二十二条</w:t>
            </w:r>
          </w:p>
        </w:tc>
        <w:tc>
          <w:tcPr>
            <w:tcW w:w="2575" w:type="dxa"/>
            <w:vAlign w:val="center"/>
          </w:tcPr>
          <w:p>
            <w:pPr>
              <w:keepNext w:val="0"/>
              <w:keepLines w:val="0"/>
              <w:pageBreakBefore w:val="0"/>
              <w:widowControl w:val="0"/>
              <w:tabs>
                <w:tab w:val="left" w:pos="720"/>
              </w:tabs>
              <w:kinsoku/>
              <w:wordWrap/>
              <w:overflowPunct/>
              <w:topLinePunct w:val="0"/>
              <w:autoSpaceDE/>
              <w:autoSpaceDN/>
              <w:bidi w:val="0"/>
              <w:adjustRightInd/>
              <w:snapToGrid/>
              <w:spacing w:line="324"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安全生产责任制明确了各岗位的责任人员、责任范围和考核标准等内容。</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经营单位应当具备的安全生产条件所必需的资金投入，由生产经营单位的决策机构、主要负责人或者个人经营的投资人予以保证，并对由于安全生产所必需的资金投入不足导致的后果承担责任。有关生产经营单位应当按照规定提取和使用安全生产费用，专门用于改善安全生产条件。安全生产费用在成本中据实列支。安全生产费用提取、使用和监督管理的具体办法由国务院财政部门会同国务院应急管理部门征求国务院有关部门意见后制定。</w:t>
            </w:r>
          </w:p>
        </w:tc>
        <w:tc>
          <w:tcPr>
            <w:tcW w:w="65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《中华人民共和国安全生产法》第二十三条</w:t>
            </w:r>
          </w:p>
        </w:tc>
        <w:tc>
          <w:tcPr>
            <w:tcW w:w="2575" w:type="dxa"/>
            <w:vAlign w:val="center"/>
          </w:tcPr>
          <w:p>
            <w:pPr>
              <w:keepNext w:val="0"/>
              <w:keepLines w:val="0"/>
              <w:pageBreakBefore w:val="0"/>
              <w:widowControl w:val="0"/>
              <w:tabs>
                <w:tab w:val="left" w:pos="720"/>
              </w:tabs>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安全生产费用按要求提取。</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矿山、金属冶炼、建筑施工、运输单位和危险物品的生产、经营、储存、装卸单位，应当设置安全生产管理机构或者配备专职安全生产管理人员。前款规定以外的其他生产经营单位，从业人员超过一百人的，应当设置安全生产管理机构或者配备专职安全生产管理人员；从业人员在一百人以下的，应当配备专职或者兼职的安全生产管理人员。</w:t>
            </w:r>
          </w:p>
        </w:tc>
        <w:tc>
          <w:tcPr>
            <w:tcW w:w="65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《中华人民共和国安全生产法》第二十四条</w:t>
            </w:r>
          </w:p>
        </w:tc>
        <w:tc>
          <w:tcPr>
            <w:tcW w:w="2575" w:type="dxa"/>
            <w:vAlign w:val="center"/>
          </w:tcPr>
          <w:p>
            <w:pPr>
              <w:keepNext w:val="0"/>
              <w:keepLines w:val="0"/>
              <w:pageBreakBefore w:val="0"/>
              <w:widowControl w:val="0"/>
              <w:tabs>
                <w:tab w:val="left" w:pos="720"/>
              </w:tabs>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设置了安全生产管理机构和专职安全生产管理人员。</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经营单位的主要负责人和安全生产管理人员必须具备与本单位所从事的生产经营活动相应的安全生产知识和管理能力。危险物品的生产、经营、储存、装卸单位以及矿山、金属冶炼、建筑施工、运输单位的主要负责人和安全生产管理人员，应当由主管的负有安全生产监督管理职责的部门对其安全生产知识和管理能力考核合格。考核不得收费。危险物品的生产、储存、装卸单位以及矿山、金属冶炼单位应当有注册安全工程师从事安全生产管理工作。鼓励其他生产经营单位聘用注册安全工程师从事安全生产管理工作。注册安全工程师按专业分类管理，具体办法由国务院人力资源和社会保障部门、国务院应急管理部门会同国务院有关部门制定。</w:t>
            </w:r>
          </w:p>
        </w:tc>
        <w:tc>
          <w:tcPr>
            <w:tcW w:w="653"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不</w:t>
            </w: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  第二十七条</w:t>
            </w:r>
          </w:p>
        </w:tc>
        <w:tc>
          <w:tcPr>
            <w:tcW w:w="2575" w:type="dxa"/>
            <w:vAlign w:val="center"/>
          </w:tcPr>
          <w:p>
            <w:pPr>
              <w:keepNext w:val="0"/>
              <w:keepLines w:val="0"/>
              <w:pageBreakBefore w:val="0"/>
              <w:widowControl w:val="0"/>
              <w:tabs>
                <w:tab w:val="left" w:pos="720"/>
              </w:tabs>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主要负责人和安全生产管理人员具备与本单位所从事的生产经营活动相应的安全生产知识和管理能力，并经培训合格后取证</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但未配备注册安全工程师。</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生产经营单位应当建立安全生产教育和培训档案，如实记录安全生产教育和培训的时间、内容、参加人员以及考核结果等情况。</w:t>
            </w:r>
          </w:p>
        </w:tc>
        <w:tc>
          <w:tcPr>
            <w:tcW w:w="65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《中华人民共和国安全生产法》第二十八条</w:t>
            </w:r>
          </w:p>
        </w:tc>
        <w:tc>
          <w:tcPr>
            <w:tcW w:w="2575" w:type="dxa"/>
            <w:vAlign w:val="center"/>
          </w:tcPr>
          <w:p>
            <w:pPr>
              <w:keepNext w:val="0"/>
              <w:keepLines w:val="0"/>
              <w:pageBreakBefore w:val="0"/>
              <w:widowControl w:val="0"/>
              <w:tabs>
                <w:tab w:val="left" w:pos="720"/>
              </w:tabs>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定期进行了安全生产教育和培训。</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生产经营单位的特种作业人员必须按照国家有关规定经专门的安全作业培训，取得相应资格，方可上岗作业。</w:t>
            </w:r>
          </w:p>
        </w:tc>
        <w:tc>
          <w:tcPr>
            <w:tcW w:w="653" w:type="dxa"/>
            <w:vAlign w:val="center"/>
          </w:tcPr>
          <w:p>
            <w:pPr>
              <w:keepNext w:val="0"/>
              <w:keepLines w:val="0"/>
              <w:pageBreakBefore w:val="0"/>
              <w:widowControl w:val="0"/>
              <w:kinsoku/>
              <w:wordWrap/>
              <w:overflowPunct/>
              <w:topLinePunct w:val="0"/>
              <w:autoSpaceDE/>
              <w:autoSpaceDN/>
              <w:bidi w:val="0"/>
              <w:adjustRightInd/>
              <w:snapToGrid/>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《中华人民共和国安全生产法》第三十条</w:t>
            </w:r>
          </w:p>
        </w:tc>
        <w:tc>
          <w:tcPr>
            <w:tcW w:w="2575" w:type="dxa"/>
            <w:vAlign w:val="center"/>
          </w:tcPr>
          <w:p>
            <w:pPr>
              <w:keepNext w:val="0"/>
              <w:keepLines w:val="0"/>
              <w:pageBreakBefore w:val="0"/>
              <w:widowControl w:val="0"/>
              <w:tabs>
                <w:tab w:val="left" w:pos="720"/>
              </w:tabs>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特种作业人员取得特种作业操作资格证书，并持证上岗。</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矿山、金属冶炼建设项目和用于生产、储存、装卸危险物品的建设项目，应当按照国家有关规定进行安全评价。</w:t>
            </w:r>
          </w:p>
        </w:tc>
        <w:tc>
          <w:tcPr>
            <w:tcW w:w="653" w:type="dxa"/>
            <w:vAlign w:val="center"/>
          </w:tcPr>
          <w:p>
            <w:pPr>
              <w:keepNext w:val="0"/>
              <w:keepLines w:val="0"/>
              <w:pageBreakBefore w:val="0"/>
              <w:widowControl w:val="0"/>
              <w:kinsoku/>
              <w:wordWrap/>
              <w:overflowPunct/>
              <w:topLinePunct w:val="0"/>
              <w:autoSpaceDE/>
              <w:autoSpaceDN/>
              <w:bidi w:val="0"/>
              <w:adjustRightInd/>
              <w:snapToGrid/>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《中华人民共和国安全生产法》第三十二条</w:t>
            </w:r>
          </w:p>
        </w:tc>
        <w:tc>
          <w:tcPr>
            <w:tcW w:w="2575" w:type="dxa"/>
            <w:vAlign w:val="center"/>
          </w:tcPr>
          <w:p>
            <w:pPr>
              <w:keepNext w:val="0"/>
              <w:keepLines w:val="0"/>
              <w:pageBreakBefore w:val="0"/>
              <w:widowControl w:val="0"/>
              <w:tabs>
                <w:tab w:val="left" w:pos="720"/>
              </w:tabs>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按照国家有关规定进行安全评价。</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生产经营单位应当在有较大危险因素的生产经营场所和有关设施、设备上，设置明显的安全警示标志。</w:t>
            </w:r>
          </w:p>
        </w:tc>
        <w:tc>
          <w:tcPr>
            <w:tcW w:w="653" w:type="dxa"/>
            <w:vAlign w:val="center"/>
          </w:tcPr>
          <w:p>
            <w:pPr>
              <w:keepNext w:val="0"/>
              <w:keepLines w:val="0"/>
              <w:pageBreakBefore w:val="0"/>
              <w:widowControl w:val="0"/>
              <w:kinsoku/>
              <w:wordWrap/>
              <w:overflowPunct/>
              <w:topLinePunct w:val="0"/>
              <w:autoSpaceDE/>
              <w:autoSpaceDN/>
              <w:bidi w:val="0"/>
              <w:adjustRightInd/>
              <w:snapToGrid/>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《中华人民共和国安全生产法》第三十五条</w:t>
            </w:r>
          </w:p>
        </w:tc>
        <w:tc>
          <w:tcPr>
            <w:tcW w:w="2575" w:type="dxa"/>
            <w:vAlign w:val="center"/>
          </w:tcPr>
          <w:p>
            <w:pPr>
              <w:keepNext w:val="0"/>
              <w:keepLines w:val="0"/>
              <w:pageBreakBefore w:val="0"/>
              <w:widowControl w:val="0"/>
              <w:tabs>
                <w:tab w:val="left" w:pos="720"/>
              </w:tabs>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设置安全警示标志。</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国家对严重危及生产安全的工艺、设备实行淘汰制度，具体目录由国务院安全生产监督管理部门会同国务院有关部门制定并公布。法律、行政法规对目录的制定另有规定的，适用其规定。</w:t>
            </w:r>
          </w:p>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“省、自治区、直辖市人民政府可以根据本地区实际情况制定并公布具体目录，对前款规定以外的危及生产安全的工艺、设备予以淘汰。</w:t>
            </w:r>
          </w:p>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“生产经营单位不得使用应当淘汰的危及生产安全的工艺、设备”。</w:t>
            </w:r>
          </w:p>
        </w:tc>
        <w:tc>
          <w:tcPr>
            <w:tcW w:w="653" w:type="dxa"/>
            <w:vAlign w:val="center"/>
          </w:tcPr>
          <w:p>
            <w:pPr>
              <w:keepNext w:val="0"/>
              <w:keepLines w:val="0"/>
              <w:pageBreakBefore w:val="0"/>
              <w:widowControl w:val="0"/>
              <w:kinsoku/>
              <w:wordWrap/>
              <w:overflowPunct/>
              <w:topLinePunct w:val="0"/>
              <w:autoSpaceDE/>
              <w:autoSpaceDN/>
              <w:bidi w:val="0"/>
              <w:adjustRightInd/>
              <w:snapToGrid/>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《中华人民共和国安全生产法》第三十八条</w:t>
            </w:r>
          </w:p>
        </w:tc>
        <w:tc>
          <w:tcPr>
            <w:tcW w:w="2575" w:type="dxa"/>
            <w:vAlign w:val="center"/>
          </w:tcPr>
          <w:p>
            <w:pPr>
              <w:keepNext w:val="0"/>
              <w:keepLines w:val="0"/>
              <w:pageBreakBefore w:val="0"/>
              <w:widowControl w:val="0"/>
              <w:tabs>
                <w:tab w:val="left" w:pos="720"/>
              </w:tabs>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不涉及淘汰的危及生产安全的工艺、设备。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生产经营单位对重大危险源应当登记建档，进行定期检测、评估、监控，并制定应急预案，告知从业人员和相关人员在紧急情况下应当采取的应急措施。</w:t>
            </w:r>
          </w:p>
          <w:p>
            <w:pPr>
              <w:keepNext w:val="0"/>
              <w:keepLines w:val="0"/>
              <w:pageBreakBefore w:val="0"/>
              <w:widowControl w:val="0"/>
              <w:kinsoku/>
              <w:wordWrap/>
              <w:overflowPunct/>
              <w:topLinePunct w:val="0"/>
              <w:autoSpaceDE/>
              <w:autoSpaceDN/>
              <w:bidi w:val="0"/>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生产经营单位应当按照国家有关规定将本单位重大危险源及有关安全措施、应急措施报有关地方人民政府负责安全生产监督管理的部门和有关部门备案。</w:t>
            </w:r>
          </w:p>
        </w:tc>
        <w:tc>
          <w:tcPr>
            <w:tcW w:w="653" w:type="dxa"/>
            <w:vAlign w:val="center"/>
          </w:tcPr>
          <w:p>
            <w:pPr>
              <w:keepNext w:val="0"/>
              <w:keepLines w:val="0"/>
              <w:pageBreakBefore w:val="0"/>
              <w:widowControl w:val="0"/>
              <w:kinsoku/>
              <w:wordWrap/>
              <w:overflowPunct/>
              <w:topLinePunct w:val="0"/>
              <w:autoSpaceDE/>
              <w:autoSpaceDN/>
              <w:bidi w:val="0"/>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《中华人民共和国安全生产法》第四十条</w:t>
            </w:r>
          </w:p>
        </w:tc>
        <w:tc>
          <w:tcPr>
            <w:tcW w:w="2575" w:type="dxa"/>
            <w:vAlign w:val="center"/>
          </w:tcPr>
          <w:p>
            <w:pPr>
              <w:keepNext w:val="0"/>
              <w:keepLines w:val="0"/>
              <w:pageBreakBefore w:val="0"/>
              <w:widowControl w:val="0"/>
              <w:kinsoku/>
              <w:wordWrap/>
              <w:overflowPunct/>
              <w:topLinePunct w:val="0"/>
              <w:autoSpaceDE/>
              <w:autoSpaceDN/>
              <w:bidi w:val="0"/>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该</w:t>
            </w:r>
            <w:r>
              <w:rPr>
                <w:rFonts w:hint="eastAsia" w:cs="Times New Roman"/>
                <w:sz w:val="21"/>
                <w:szCs w:val="21"/>
                <w:lang w:val="en-US" w:eastAsia="zh-CN"/>
              </w:rPr>
              <w:t>企业</w:t>
            </w:r>
            <w:r>
              <w:rPr>
                <w:rFonts w:hint="default" w:ascii="Times New Roman" w:hAnsi="Times New Roman" w:cs="Times New Roman"/>
                <w:sz w:val="21"/>
                <w:szCs w:val="21"/>
              </w:rPr>
              <w:t>各生产、储存单元均不构成重大危险源。</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pStyle w:val="16"/>
              <w:keepNext w:val="0"/>
              <w:keepLines w:val="0"/>
              <w:pageBreakBefore w:val="0"/>
              <w:widowControl w:val="0"/>
              <w:kinsoku/>
              <w:wordWrap/>
              <w:overflowPunct/>
              <w:topLinePunct w:val="0"/>
              <w:autoSpaceDE/>
              <w:autoSpaceDN/>
              <w:bidi w:val="0"/>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经营、储存、使用危险物品的车间、商店、仓库不得与员工宿舍在同一座建筑物内，并应当与员工宿舍保持安全距离。生产经营场所和员工宿舍应当设有符合紧急疏散要求、标志明显、保持畅通的出口、疏散通道。禁止占用、锁闭、封堵生产经营场所或者员工宿舍的出口、疏散通道。</w:t>
            </w:r>
          </w:p>
        </w:tc>
        <w:tc>
          <w:tcPr>
            <w:tcW w:w="653" w:type="dxa"/>
            <w:vAlign w:val="center"/>
          </w:tcPr>
          <w:p>
            <w:pPr>
              <w:keepNext w:val="0"/>
              <w:keepLines w:val="0"/>
              <w:pageBreakBefore w:val="0"/>
              <w:widowControl w:val="0"/>
              <w:kinsoku/>
              <w:wordWrap/>
              <w:overflowPunct/>
              <w:topLinePunct w:val="0"/>
              <w:autoSpaceDE/>
              <w:autoSpaceDN/>
              <w:bidi w:val="0"/>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《中华人民共和国安全生产法》第四十二条</w:t>
            </w:r>
          </w:p>
        </w:tc>
        <w:tc>
          <w:tcPr>
            <w:tcW w:w="2575" w:type="dxa"/>
            <w:vAlign w:val="center"/>
          </w:tcPr>
          <w:p>
            <w:pPr>
              <w:pStyle w:val="16"/>
              <w:keepNext w:val="0"/>
              <w:keepLines w:val="0"/>
              <w:pageBreakBefore w:val="0"/>
              <w:widowControl w:val="0"/>
              <w:kinsoku/>
              <w:wordWrap/>
              <w:overflowPunct/>
              <w:topLinePunct w:val="0"/>
              <w:autoSpaceDE/>
              <w:autoSpaceDN/>
              <w:bidi w:val="0"/>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该</w:t>
            </w:r>
            <w:r>
              <w:rPr>
                <w:rFonts w:hint="eastAsia" w:cs="Times New Roman"/>
                <w:sz w:val="21"/>
                <w:szCs w:val="21"/>
                <w:lang w:val="en-US" w:eastAsia="zh-CN"/>
              </w:rPr>
              <w:t>企业</w:t>
            </w:r>
            <w:r>
              <w:rPr>
                <w:rFonts w:hint="default" w:ascii="Times New Roman" w:hAnsi="Times New Roman" w:cs="Times New Roman"/>
                <w:sz w:val="21"/>
                <w:szCs w:val="21"/>
              </w:rPr>
              <w:t>生产区域内无员工宿舍。</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499" w:type="dxa"/>
            <w:vAlign w:val="center"/>
          </w:tcPr>
          <w:p>
            <w:pPr>
              <w:numPr>
                <w:ilvl w:val="0"/>
                <w:numId w:val="34"/>
              </w:numPr>
              <w:spacing w:line="300" w:lineRule="exact"/>
              <w:jc w:val="center"/>
              <w:rPr>
                <w:rFonts w:hint="default" w:ascii="Times New Roman" w:hAnsi="Times New Roman" w:cs="Times New Roman"/>
                <w:sz w:val="21"/>
                <w:szCs w:val="21"/>
              </w:rPr>
            </w:pPr>
          </w:p>
        </w:tc>
        <w:tc>
          <w:tcPr>
            <w:tcW w:w="4105" w:type="dxa"/>
            <w:vAlign w:val="center"/>
          </w:tcPr>
          <w:p>
            <w:pPr>
              <w:pStyle w:val="16"/>
              <w:keepNext w:val="0"/>
              <w:keepLines w:val="0"/>
              <w:pageBreakBefore w:val="0"/>
              <w:widowControl w:val="0"/>
              <w:kinsoku/>
              <w:wordWrap/>
              <w:overflowPunct/>
              <w:topLinePunct w:val="0"/>
              <w:autoSpaceDE/>
              <w:autoSpaceDN/>
              <w:bidi w:val="0"/>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经营单位应当教育和督促从业人员严格执行本单位的安全生产规章制度和安全操作规程；并向从业人员如实告知作业场所和工作岗位存在的危险因素、防范措施以及事故应急措施。生产经营单位应当关注从业人员的身体、心理状况和行为习惯，加强对从业人员的心理疏导、精神慰藉，严格落实岗位安全生产责任，防范从业人员行为异常导致事故发生。</w:t>
            </w:r>
          </w:p>
        </w:tc>
        <w:tc>
          <w:tcPr>
            <w:tcW w:w="653" w:type="dxa"/>
            <w:vAlign w:val="center"/>
          </w:tcPr>
          <w:p>
            <w:pPr>
              <w:keepNext w:val="0"/>
              <w:keepLines w:val="0"/>
              <w:pageBreakBefore w:val="0"/>
              <w:widowControl w:val="0"/>
              <w:kinsoku/>
              <w:wordWrap/>
              <w:overflowPunct/>
              <w:topLinePunct w:val="0"/>
              <w:autoSpaceDE/>
              <w:autoSpaceDN/>
              <w:bidi w:val="0"/>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《中华人民共和国安全生产法》第四十四条</w:t>
            </w:r>
          </w:p>
        </w:tc>
        <w:tc>
          <w:tcPr>
            <w:tcW w:w="2575" w:type="dxa"/>
            <w:vAlign w:val="center"/>
          </w:tcPr>
          <w:p>
            <w:pPr>
              <w:pStyle w:val="16"/>
              <w:keepNext w:val="0"/>
              <w:keepLines w:val="0"/>
              <w:pageBreakBefore w:val="0"/>
              <w:widowControl w:val="0"/>
              <w:kinsoku/>
              <w:wordWrap/>
              <w:overflowPunct/>
              <w:topLinePunct w:val="0"/>
              <w:autoSpaceDE/>
              <w:autoSpaceDN/>
              <w:bidi w:val="0"/>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定期教育和和督促从业人员严格执行本单位的安全生产规章制度和安全操作规程；并向从业人员如实告知作业场所和工作岗位存在的危险因素、防范措施以及事故应急措施。</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300" w:lineRule="exact"/>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生产经营单位必须为从业人员提供符合国家标准或者行业标准的劳动防护用品，并监督、教育从业人员按照使用规则佩戴、使用。</w:t>
            </w:r>
          </w:p>
        </w:tc>
        <w:tc>
          <w:tcPr>
            <w:tcW w:w="653" w:type="dxa"/>
            <w:vAlign w:val="center"/>
          </w:tcPr>
          <w:p>
            <w:pPr>
              <w:keepNext w:val="0"/>
              <w:keepLines w:val="0"/>
              <w:pageBreakBefore w:val="0"/>
              <w:widowControl w:val="0"/>
              <w:kinsoku/>
              <w:wordWrap/>
              <w:overflowPunct/>
              <w:topLinePunct w:val="0"/>
              <w:autoSpaceDE/>
              <w:autoSpaceDN/>
              <w:bidi w:val="0"/>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《中华人民共和国安全生产法》第四十五条</w:t>
            </w:r>
          </w:p>
        </w:tc>
        <w:tc>
          <w:tcPr>
            <w:tcW w:w="2575" w:type="dxa"/>
            <w:vAlign w:val="center"/>
          </w:tcPr>
          <w:p>
            <w:pPr>
              <w:keepNext w:val="0"/>
              <w:keepLines w:val="0"/>
              <w:pageBreakBefore w:val="0"/>
              <w:widowControl w:val="0"/>
              <w:kinsoku/>
              <w:wordWrap/>
              <w:overflowPunct/>
              <w:topLinePunct w:val="0"/>
              <w:autoSpaceDE/>
              <w:autoSpaceDN/>
              <w:bidi w:val="0"/>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为从业人员提供了相应的劳动防护用品。</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300" w:lineRule="exact"/>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经营单位的安全生产管理人员应当根据本单位的生产经营特点，对安全生产状况进行经常性检查；对检查中发现的安全问题，应当立即处理；不能处理的，应当及时报告本单位有关负责人，有关负责人应当及时处理。检查及处理情况应当如实记录在案。</w:t>
            </w:r>
          </w:p>
        </w:tc>
        <w:tc>
          <w:tcPr>
            <w:tcW w:w="653" w:type="dxa"/>
            <w:vAlign w:val="center"/>
          </w:tcPr>
          <w:p>
            <w:pPr>
              <w:keepNext w:val="0"/>
              <w:keepLines w:val="0"/>
              <w:pageBreakBefore w:val="0"/>
              <w:widowControl w:val="0"/>
              <w:kinsoku/>
              <w:wordWrap/>
              <w:overflowPunct/>
              <w:topLinePunct w:val="0"/>
              <w:autoSpaceDE/>
              <w:autoSpaceDN/>
              <w:bidi w:val="0"/>
              <w:spacing w:line="31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《中华人民共和国安全生产法》第四十六条</w:t>
            </w:r>
          </w:p>
        </w:tc>
        <w:tc>
          <w:tcPr>
            <w:tcW w:w="2575" w:type="dxa"/>
            <w:vAlign w:val="center"/>
          </w:tcPr>
          <w:p>
            <w:pPr>
              <w:keepNext w:val="0"/>
              <w:keepLines w:val="0"/>
              <w:pageBreakBefore w:val="0"/>
              <w:widowControl w:val="0"/>
              <w:kinsoku/>
              <w:wordWrap/>
              <w:overflowPunct/>
              <w:topLinePunct w:val="0"/>
              <w:autoSpaceDE/>
              <w:autoSpaceDN/>
              <w:bidi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生产经营单位的安全生产管理人员对安全生产状况进行经常性检查；对检查中发现的安全问题，立即处理，检查及处理情况记录在案。</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生产经营单位应当安排用于配备劳动防护用品、进行安全生产培训的经费。</w:t>
            </w:r>
          </w:p>
        </w:tc>
        <w:tc>
          <w:tcPr>
            <w:tcW w:w="653" w:type="dxa"/>
            <w:vAlign w:val="center"/>
          </w:tcPr>
          <w:p>
            <w:pPr>
              <w:keepNext w:val="0"/>
              <w:keepLines w:val="0"/>
              <w:pageBreakBefore w:val="0"/>
              <w:widowControl w:val="0"/>
              <w:kinsoku/>
              <w:wordWrap/>
              <w:overflowPunct/>
              <w:topLinePunct w:val="0"/>
              <w:autoSpaceDE/>
              <w:autoSpaceDN/>
              <w:bidi w:val="0"/>
              <w:spacing w:line="31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《中华人民共和国安全生产法》第四十七条</w:t>
            </w:r>
          </w:p>
        </w:tc>
        <w:tc>
          <w:tcPr>
            <w:tcW w:w="2575" w:type="dxa"/>
            <w:vAlign w:val="center"/>
          </w:tcPr>
          <w:p>
            <w:pPr>
              <w:keepNext w:val="0"/>
              <w:keepLines w:val="0"/>
              <w:pageBreakBefore w:val="0"/>
              <w:widowControl w:val="0"/>
              <w:kinsoku/>
              <w:wordWrap/>
              <w:overflowPunct/>
              <w:topLinePunct w:val="0"/>
              <w:autoSpaceDE/>
              <w:autoSpaceDN/>
              <w:bidi w:val="0"/>
              <w:spacing w:beforeLines="50" w:afterLines="50"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该</w:t>
            </w:r>
            <w:r>
              <w:rPr>
                <w:rFonts w:hint="eastAsia" w:cs="Times New Roman"/>
                <w:sz w:val="21"/>
                <w:szCs w:val="21"/>
                <w:lang w:val="en-US" w:eastAsia="zh-CN"/>
              </w:rPr>
              <w:t>企业</w:t>
            </w:r>
            <w:r>
              <w:rPr>
                <w:rFonts w:hint="default" w:ascii="Times New Roman" w:hAnsi="Times New Roman" w:cs="Times New Roman"/>
                <w:sz w:val="21"/>
                <w:szCs w:val="21"/>
              </w:rPr>
              <w:t>设有安排用于配备劳动防护用品、进行安全生产培训的经费。</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w:t>
            </w:r>
          </w:p>
        </w:tc>
        <w:tc>
          <w:tcPr>
            <w:tcW w:w="653" w:type="dxa"/>
            <w:vAlign w:val="center"/>
          </w:tcPr>
          <w:p>
            <w:pPr>
              <w:keepNext w:val="0"/>
              <w:keepLines w:val="0"/>
              <w:pageBreakBefore w:val="0"/>
              <w:widowControl w:val="0"/>
              <w:kinsoku/>
              <w:wordWrap/>
              <w:overflowPunct/>
              <w:topLinePunct w:val="0"/>
              <w:autoSpaceDE/>
              <w:autoSpaceDN/>
              <w:bidi w:val="0"/>
              <w:spacing w:line="31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《中华人民共和国安全生产法》第五十一条</w:t>
            </w:r>
          </w:p>
        </w:tc>
        <w:tc>
          <w:tcPr>
            <w:tcW w:w="2575" w:type="dxa"/>
            <w:vAlign w:val="center"/>
          </w:tcPr>
          <w:p>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为从业人员缴纳了安全生产责任险。</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生产经营单位应当制定本单位生产安全事故应急救援预案，与所在地县级以上地方人民政府组织制定的生产安全事故应急救援预案相衔接，并定期组织演练。</w:t>
            </w:r>
          </w:p>
        </w:tc>
        <w:tc>
          <w:tcPr>
            <w:tcW w:w="653" w:type="dxa"/>
            <w:vAlign w:val="center"/>
          </w:tcPr>
          <w:p>
            <w:pPr>
              <w:keepNext w:val="0"/>
              <w:keepLines w:val="0"/>
              <w:pageBreakBefore w:val="0"/>
              <w:widowControl w:val="0"/>
              <w:kinsoku/>
              <w:wordWrap/>
              <w:overflowPunct/>
              <w:topLinePunct w:val="0"/>
              <w:autoSpaceDE/>
              <w:autoSpaceDN/>
              <w:bidi w:val="0"/>
              <w:spacing w:line="31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《中华人民共和国安全生产法》第八十一条</w:t>
            </w:r>
          </w:p>
        </w:tc>
        <w:tc>
          <w:tcPr>
            <w:tcW w:w="2575" w:type="dxa"/>
            <w:vAlign w:val="center"/>
          </w:tcPr>
          <w:p>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制定本单位生产安全事故应急救援预案，并备案登记。</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危险物品的生产、经营、储存单位以及矿山、金属冶炼、城市轨道交通运营、建筑施工单位应当建立应急救援组织；生产经营规模较小的，可以不建立应急救援组织，但应当指定兼职的应急救援人员。</w:t>
            </w:r>
          </w:p>
          <w:p>
            <w:pPr>
              <w:keepNext w:val="0"/>
              <w:keepLines w:val="0"/>
              <w:pageBreakBefore w:val="0"/>
              <w:widowControl w:val="0"/>
              <w:kinsoku/>
              <w:wordWrap/>
              <w:overflowPunct/>
              <w:topLinePunct w:val="0"/>
              <w:autoSpaceDE/>
              <w:autoSpaceDN/>
              <w:bidi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“危险物品的生产、经营、储存、运输单位以及矿山、金属冶炼、城市轨道交通运营、建筑施工单位应当配备必要的应急救援器材、设备和物资，并进行经常性维护、保养，保证正常运转。</w:t>
            </w:r>
          </w:p>
        </w:tc>
        <w:tc>
          <w:tcPr>
            <w:tcW w:w="653" w:type="dxa"/>
            <w:vAlign w:val="center"/>
          </w:tcPr>
          <w:p>
            <w:pPr>
              <w:keepNext w:val="0"/>
              <w:keepLines w:val="0"/>
              <w:pageBreakBefore w:val="0"/>
              <w:widowControl w:val="0"/>
              <w:kinsoku/>
              <w:wordWrap/>
              <w:overflowPunct/>
              <w:topLinePunct w:val="0"/>
              <w:autoSpaceDE/>
              <w:autoSpaceDN/>
              <w:bidi w:val="0"/>
              <w:spacing w:line="31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《中华人民共和国安全生产法》第八十二条</w:t>
            </w:r>
          </w:p>
        </w:tc>
        <w:tc>
          <w:tcPr>
            <w:tcW w:w="2575" w:type="dxa"/>
            <w:vAlign w:val="center"/>
          </w:tcPr>
          <w:p>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建立应急救援组织，配备了应急救援器材。</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任何单位和个人不得生产、经营、使用国家禁止生产、经营、使用的危险化学品。</w:t>
            </w:r>
          </w:p>
        </w:tc>
        <w:tc>
          <w:tcPr>
            <w:tcW w:w="653" w:type="dxa"/>
            <w:vAlign w:val="center"/>
          </w:tcPr>
          <w:p>
            <w:pPr>
              <w:keepNext w:val="0"/>
              <w:keepLines w:val="0"/>
              <w:pageBreakBefore w:val="0"/>
              <w:widowControl w:val="0"/>
              <w:kinsoku/>
              <w:wordWrap/>
              <w:overflowPunct/>
              <w:topLinePunct w:val="0"/>
              <w:autoSpaceDE/>
              <w:autoSpaceDN/>
              <w:bidi w:val="0"/>
              <w:spacing w:line="31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vAlign w:val="center"/>
          </w:tcPr>
          <w:p>
            <w:pPr>
              <w:keepNext w:val="0"/>
              <w:keepLines w:val="0"/>
              <w:pageBreakBefore w:val="0"/>
              <w:widowControl w:val="0"/>
              <w:kinsoku/>
              <w:wordWrap/>
              <w:overflowPunct/>
              <w:topLinePunct w:val="0"/>
              <w:autoSpaceDE/>
              <w:autoSpaceDN/>
              <w:bidi w:val="0"/>
              <w:spacing w:line="31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《危险化学品安全管理条例》第五条</w:t>
            </w:r>
          </w:p>
        </w:tc>
        <w:tc>
          <w:tcPr>
            <w:tcW w:w="2575" w:type="dxa"/>
            <w:vAlign w:val="center"/>
          </w:tcPr>
          <w:p>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不涉及国家禁止生产、经营、使用的危险化学品。</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val="0"/>
              <w:spacing w:line="310" w:lineRule="exact"/>
              <w:jc w:val="left"/>
              <w:textAlignment w:val="auto"/>
              <w:rPr>
                <w:rFonts w:hint="default" w:ascii="Times New Roman" w:hAnsi="Times New Roman" w:cs="Times New Roman"/>
                <w:sz w:val="21"/>
                <w:szCs w:val="21"/>
              </w:rPr>
            </w:pPr>
            <w:r>
              <w:rPr>
                <w:rFonts w:hint="default" w:ascii="Times New Roman" w:hAnsi="Times New Roman" w:eastAsia="新宋体" w:cs="Times New Roman"/>
                <w:kern w:val="0"/>
                <w:sz w:val="21"/>
                <w:szCs w:val="21"/>
              </w:rPr>
              <w:t>危险化学品生产企业进行生产前，应当依照《安全生产许可证条例》的规定，取得危险化学品安全生产许可证。</w:t>
            </w:r>
          </w:p>
        </w:tc>
        <w:tc>
          <w:tcPr>
            <w:tcW w:w="653" w:type="dxa"/>
            <w:vAlign w:val="center"/>
          </w:tcPr>
          <w:p>
            <w:pPr>
              <w:keepNext w:val="0"/>
              <w:keepLines w:val="0"/>
              <w:pageBreakBefore w:val="0"/>
              <w:widowControl w:val="0"/>
              <w:kinsoku/>
              <w:wordWrap/>
              <w:overflowPunct/>
              <w:topLinePunct w:val="0"/>
              <w:autoSpaceDE/>
              <w:autoSpaceDN/>
              <w:bidi w:val="0"/>
              <w:spacing w:line="31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w:t>
            </w:r>
            <w:r>
              <w:rPr>
                <w:rFonts w:hint="default" w:ascii="Times New Roman" w:hAnsi="Times New Roman" w:eastAsia="新宋体" w:cs="Times New Roman"/>
                <w:kern w:val="0"/>
                <w:sz w:val="21"/>
                <w:szCs w:val="21"/>
              </w:rPr>
              <w:t>第十四条</w:t>
            </w:r>
          </w:p>
        </w:tc>
        <w:tc>
          <w:tcPr>
            <w:tcW w:w="2575" w:type="dxa"/>
            <w:vAlign w:val="center"/>
          </w:tcPr>
          <w:p>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cs="Times New Roman"/>
                <w:sz w:val="21"/>
                <w:szCs w:val="21"/>
              </w:rPr>
            </w:pPr>
            <w:r>
              <w:rPr>
                <w:rFonts w:hint="default" w:ascii="Times New Roman" w:hAnsi="Times New Roman" w:eastAsia="新宋体" w:cs="Times New Roman"/>
                <w:kern w:val="0"/>
                <w:sz w:val="21"/>
                <w:szCs w:val="21"/>
              </w:rPr>
              <w:t>已取得安全生产许可证，有效期至202</w:t>
            </w:r>
            <w:r>
              <w:rPr>
                <w:rFonts w:hint="default" w:ascii="Times New Roman" w:hAnsi="Times New Roman" w:eastAsia="新宋体" w:cs="Times New Roman"/>
                <w:kern w:val="0"/>
                <w:sz w:val="21"/>
                <w:szCs w:val="21"/>
                <w:lang w:val="en-US" w:eastAsia="zh-CN"/>
              </w:rPr>
              <w:t>3</w:t>
            </w:r>
            <w:r>
              <w:rPr>
                <w:rFonts w:hint="default" w:ascii="Times New Roman" w:hAnsi="Times New Roman" w:eastAsia="新宋体" w:cs="Times New Roman"/>
                <w:kern w:val="0"/>
                <w:sz w:val="21"/>
                <w:szCs w:val="21"/>
              </w:rPr>
              <w:t>年</w:t>
            </w:r>
            <w:r>
              <w:rPr>
                <w:rFonts w:hint="default" w:ascii="Times New Roman" w:hAnsi="Times New Roman" w:eastAsia="新宋体" w:cs="Times New Roman"/>
                <w:kern w:val="0"/>
                <w:sz w:val="21"/>
                <w:szCs w:val="21"/>
                <w:lang w:val="en-US" w:eastAsia="zh-CN"/>
              </w:rPr>
              <w:t>8</w:t>
            </w:r>
            <w:r>
              <w:rPr>
                <w:rFonts w:hint="default" w:ascii="Times New Roman" w:hAnsi="Times New Roman" w:eastAsia="新宋体" w:cs="Times New Roman"/>
                <w:kern w:val="0"/>
                <w:sz w:val="21"/>
                <w:szCs w:val="21"/>
              </w:rPr>
              <w:t>月</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val="0"/>
              <w:kinsoku/>
              <w:wordWrap/>
              <w:overflowPunct/>
              <w:topLinePunct w:val="0"/>
              <w:autoSpaceDE/>
              <w:autoSpaceDN/>
              <w:bidi w:val="0"/>
              <w:adjustRightInd w:val="0"/>
              <w:spacing w:line="310" w:lineRule="exact"/>
              <w:jc w:val="left"/>
              <w:textAlignment w:val="auto"/>
              <w:rPr>
                <w:rFonts w:hint="default" w:ascii="Times New Roman" w:hAnsi="Times New Roman" w:eastAsia="新宋体" w:cs="Times New Roman"/>
                <w:kern w:val="0"/>
                <w:sz w:val="21"/>
                <w:szCs w:val="21"/>
              </w:rPr>
            </w:pPr>
            <w:r>
              <w:rPr>
                <w:rFonts w:hint="default" w:ascii="Times New Roman" w:hAnsi="Times New Roman" w:eastAsia="新宋体" w:cs="Times New Roman"/>
                <w:kern w:val="0"/>
                <w:sz w:val="21"/>
                <w:szCs w:val="21"/>
              </w:rPr>
              <w:t>危险化学品生产企业应当提供与其生产的危险化学品相符的化学品安全技术说明书，并在危险化学品包装(包括外包装件)上粘贴或者拴挂与包装内危险化学品相符的化学品安全标签。化学品安全技术说明书和化学品安全标签所载明的内容应当符合国家标准的要求。</w:t>
            </w:r>
          </w:p>
        </w:tc>
        <w:tc>
          <w:tcPr>
            <w:tcW w:w="653" w:type="dxa"/>
            <w:vAlign w:val="center"/>
          </w:tcPr>
          <w:p>
            <w:pPr>
              <w:keepNext w:val="0"/>
              <w:keepLines w:val="0"/>
              <w:pageBreakBefore w:val="0"/>
              <w:widowControl w:val="0"/>
              <w:kinsoku/>
              <w:wordWrap/>
              <w:overflowPunct/>
              <w:topLinePunct w:val="0"/>
              <w:autoSpaceDE/>
              <w:autoSpaceDN/>
              <w:bidi w:val="0"/>
              <w:spacing w:line="31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widowControl w:val="0"/>
              <w:kinsoku/>
              <w:wordWrap/>
              <w:overflowPunct/>
              <w:topLinePunct w:val="0"/>
              <w:autoSpaceDE/>
              <w:autoSpaceDN/>
              <w:bidi w:val="0"/>
              <w:spacing w:line="31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w:t>
            </w:r>
            <w:r>
              <w:rPr>
                <w:rFonts w:hint="default" w:ascii="Times New Roman" w:hAnsi="Times New Roman" w:eastAsia="新宋体" w:cs="Times New Roman"/>
                <w:kern w:val="0"/>
                <w:sz w:val="21"/>
                <w:szCs w:val="21"/>
              </w:rPr>
              <w:t>第十五条</w:t>
            </w:r>
          </w:p>
        </w:tc>
        <w:tc>
          <w:tcPr>
            <w:tcW w:w="2575" w:type="dxa"/>
            <w:vAlign w:val="center"/>
          </w:tcPr>
          <w:p>
            <w:pPr>
              <w:keepNext w:val="0"/>
              <w:keepLines w:val="0"/>
              <w:pageBreakBefore w:val="0"/>
              <w:widowControl w:val="0"/>
              <w:kinsoku/>
              <w:wordWrap/>
              <w:overflowPunct/>
              <w:topLinePunct w:val="0"/>
              <w:autoSpaceDE/>
              <w:autoSpaceDN/>
              <w:bidi w:val="0"/>
              <w:adjustRightInd w:val="0"/>
              <w:snapToGrid w:val="0"/>
              <w:spacing w:line="310" w:lineRule="exact"/>
              <w:textAlignment w:val="auto"/>
              <w:rPr>
                <w:rFonts w:hint="default" w:ascii="Times New Roman" w:hAnsi="Times New Roman" w:eastAsia="新宋体" w:cs="Times New Roman"/>
                <w:sz w:val="21"/>
                <w:szCs w:val="21"/>
              </w:rPr>
            </w:pPr>
            <w:r>
              <w:rPr>
                <w:rFonts w:hint="default" w:ascii="Times New Roman" w:hAnsi="Times New Roman" w:eastAsia="新宋体" w:cs="Times New Roman"/>
                <w:kern w:val="0"/>
                <w:sz w:val="21"/>
                <w:szCs w:val="21"/>
              </w:rPr>
              <w:t>提供与其生产的危险化学品相符的化学品安全技术说明书。</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新宋体" w:cs="Times New Roman"/>
                <w:kern w:val="0"/>
                <w:sz w:val="21"/>
                <w:szCs w:val="21"/>
              </w:rPr>
            </w:pPr>
            <w:r>
              <w:rPr>
                <w:rFonts w:hint="default" w:ascii="Times New Roman" w:hAnsi="Times New Roman" w:eastAsia="新宋体" w:cs="Times New Roman"/>
                <w:kern w:val="0"/>
                <w:sz w:val="21"/>
                <w:szCs w:val="21"/>
              </w:rPr>
              <w:t>危险化学品的包装应当符合法律、行政法规、规章的规定以及国家标准、行业标准的要求。</w:t>
            </w:r>
          </w:p>
        </w:tc>
        <w:tc>
          <w:tcPr>
            <w:tcW w:w="653"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w:t>
            </w:r>
            <w:r>
              <w:rPr>
                <w:rFonts w:hint="default" w:ascii="Times New Roman" w:hAnsi="Times New Roman" w:eastAsia="新宋体" w:cs="Times New Roman"/>
                <w:kern w:val="0"/>
                <w:sz w:val="21"/>
                <w:szCs w:val="21"/>
              </w:rPr>
              <w:t>第十七条</w:t>
            </w:r>
          </w:p>
        </w:tc>
        <w:tc>
          <w:tcPr>
            <w:tcW w:w="2575" w:type="dxa"/>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eastAsia="新宋体" w:cs="Times New Roman"/>
                <w:sz w:val="21"/>
                <w:szCs w:val="21"/>
              </w:rPr>
            </w:pPr>
            <w:r>
              <w:rPr>
                <w:rFonts w:hint="default" w:ascii="Times New Roman" w:hAnsi="Times New Roman" w:eastAsia="新宋体" w:cs="Times New Roman"/>
                <w:kern w:val="0"/>
                <w:sz w:val="21"/>
                <w:szCs w:val="21"/>
              </w:rPr>
              <w:t>包装符合法律、行政法规、规章的规定以及国家标准。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新宋体" w:cs="Times New Roman"/>
                <w:kern w:val="0"/>
                <w:sz w:val="21"/>
                <w:szCs w:val="21"/>
              </w:rPr>
            </w:pPr>
            <w:r>
              <w:rPr>
                <w:rFonts w:hint="default" w:ascii="Times New Roman" w:hAnsi="Times New Roman" w:eastAsia="新宋体" w:cs="Times New Roman"/>
                <w:kern w:val="0"/>
                <w:sz w:val="21"/>
                <w:szCs w:val="21"/>
              </w:rPr>
              <w:t>生产、储存危险化学品的单位，应当根据其生产、储存的危险化学品的种类和危险特性，在作业场所设置相应的监测、监控、通风、防晒、调温、防火、灭火、防爆、泄压、防毒、中和、防潮、防雷、防静电、防腐、防泄漏以及防护围堤或者隔离操作等安全设施、设备，并按照国家标准、行业标准或者国家有关规定对安全设施、设备进行经常性维护、保养，保证安全设施、设备的正常使用。</w:t>
            </w:r>
          </w:p>
          <w:p>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新宋体" w:cs="Times New Roman"/>
                <w:kern w:val="0"/>
                <w:sz w:val="21"/>
                <w:szCs w:val="21"/>
              </w:rPr>
            </w:pPr>
            <w:r>
              <w:rPr>
                <w:rFonts w:hint="default" w:ascii="Times New Roman" w:hAnsi="Times New Roman" w:eastAsia="新宋体" w:cs="Times New Roman"/>
                <w:kern w:val="0"/>
                <w:sz w:val="21"/>
                <w:szCs w:val="21"/>
              </w:rPr>
              <w:t>　　生产、储存危险化学品的单位，应当在其作业场所和安全设施、设备上设置明显的安全警示标志。</w:t>
            </w:r>
          </w:p>
        </w:tc>
        <w:tc>
          <w:tcPr>
            <w:tcW w:w="653"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w:t>
            </w:r>
            <w:r>
              <w:rPr>
                <w:rFonts w:hint="default" w:ascii="Times New Roman" w:hAnsi="Times New Roman" w:eastAsia="新宋体" w:cs="Times New Roman"/>
                <w:kern w:val="0"/>
                <w:sz w:val="21"/>
                <w:szCs w:val="21"/>
              </w:rPr>
              <w:t>第二十条</w:t>
            </w:r>
          </w:p>
        </w:tc>
        <w:tc>
          <w:tcPr>
            <w:tcW w:w="2575" w:type="dxa"/>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eastAsia="新宋体" w:cs="Times New Roman"/>
                <w:sz w:val="21"/>
                <w:szCs w:val="21"/>
              </w:rPr>
            </w:pPr>
            <w:r>
              <w:rPr>
                <w:rFonts w:hint="default" w:ascii="Times New Roman" w:hAnsi="Times New Roman" w:eastAsia="新宋体" w:cs="Times New Roman"/>
                <w:kern w:val="0"/>
                <w:sz w:val="21"/>
                <w:szCs w:val="21"/>
              </w:rPr>
              <w:t>设置相应的安全设施、设备，并按照国家标准、行业标准或者国家有关规定对安全设施、设备进行经常性维护、保养，保证安全设施、设备的正常使用。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新宋体" w:cs="Times New Roman"/>
                <w:kern w:val="0"/>
                <w:sz w:val="21"/>
                <w:szCs w:val="21"/>
              </w:rPr>
            </w:pPr>
            <w:r>
              <w:rPr>
                <w:rFonts w:hint="default" w:ascii="Times New Roman" w:hAnsi="Times New Roman" w:eastAsia="新宋体" w:cs="Times New Roman"/>
                <w:kern w:val="0"/>
                <w:sz w:val="21"/>
                <w:szCs w:val="21"/>
              </w:rPr>
              <w:t>生产、储存危险化学品的单位，应当在其作业场所设置通信、报警装置，并保证处于适用状态。</w:t>
            </w:r>
          </w:p>
        </w:tc>
        <w:tc>
          <w:tcPr>
            <w:tcW w:w="653"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w:t>
            </w:r>
            <w:r>
              <w:rPr>
                <w:rFonts w:hint="default" w:ascii="Times New Roman" w:hAnsi="Times New Roman" w:eastAsia="新宋体" w:cs="Times New Roman"/>
                <w:kern w:val="0"/>
                <w:sz w:val="21"/>
                <w:szCs w:val="21"/>
              </w:rPr>
              <w:t>　第二十一条</w:t>
            </w:r>
          </w:p>
        </w:tc>
        <w:tc>
          <w:tcPr>
            <w:tcW w:w="2575" w:type="dxa"/>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eastAsia="新宋体" w:cs="Times New Roman"/>
                <w:sz w:val="21"/>
                <w:szCs w:val="21"/>
              </w:rPr>
            </w:pPr>
            <w:r>
              <w:rPr>
                <w:rFonts w:hint="default" w:ascii="Times New Roman" w:hAnsi="Times New Roman" w:eastAsia="新宋体" w:cs="Times New Roman"/>
                <w:kern w:val="0"/>
                <w:sz w:val="21"/>
                <w:szCs w:val="21"/>
              </w:rPr>
              <w:t>设置通信、报警装置。</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tcBorders>
              <w:top w:val="single" w:color="auto" w:sz="2" w:space="0"/>
            </w:tcBorders>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tcBorders>
              <w:top w:val="single" w:color="auto" w:sz="2" w:space="0"/>
            </w:tcBorders>
            <w:vAlign w:val="center"/>
          </w:tcPr>
          <w:p>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新宋体" w:cs="Times New Roman"/>
                <w:kern w:val="0"/>
                <w:sz w:val="21"/>
                <w:szCs w:val="21"/>
              </w:rPr>
            </w:pPr>
            <w:r>
              <w:rPr>
                <w:rFonts w:hint="default" w:ascii="Times New Roman" w:hAnsi="Times New Roman" w:eastAsia="新宋体" w:cs="Times New Roman"/>
                <w:kern w:val="0"/>
                <w:sz w:val="21"/>
                <w:szCs w:val="21"/>
              </w:rPr>
              <w:t>危险化学品生产企业、进口企业，应当向国务院安全生产监督管理部门负责危险化学品登记的机构(以下简称危险化学品登记机构)办理危险化学品登记。</w:t>
            </w:r>
          </w:p>
        </w:tc>
        <w:tc>
          <w:tcPr>
            <w:tcW w:w="653" w:type="dxa"/>
            <w:tcBorders>
              <w:top w:val="single" w:color="auto" w:sz="2" w:space="0"/>
            </w:tcBorders>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Borders>
              <w:top w:val="single" w:color="auto" w:sz="2" w:space="0"/>
            </w:tcBorders>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w:t>
            </w:r>
            <w:r>
              <w:rPr>
                <w:rFonts w:hint="default" w:ascii="Times New Roman" w:hAnsi="Times New Roman" w:eastAsia="新宋体" w:cs="Times New Roman"/>
                <w:kern w:val="0"/>
                <w:sz w:val="21"/>
                <w:szCs w:val="21"/>
              </w:rPr>
              <w:t>　　第六十七条</w:t>
            </w:r>
          </w:p>
        </w:tc>
        <w:tc>
          <w:tcPr>
            <w:tcW w:w="2575" w:type="dxa"/>
            <w:tcBorders>
              <w:top w:val="single" w:color="auto" w:sz="2" w:space="0"/>
            </w:tcBorders>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eastAsia="新宋体" w:cs="Times New Roman"/>
                <w:kern w:val="0"/>
                <w:sz w:val="21"/>
                <w:szCs w:val="21"/>
              </w:rPr>
              <w:t>按要求办理危险化学品登记证，详见附件。</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340" w:lineRule="exact"/>
              <w:jc w:val="center"/>
              <w:rPr>
                <w:rFonts w:hint="default" w:ascii="Times New Roman" w:hAnsi="Times New Roman" w:cs="Times New Roman"/>
                <w:sz w:val="21"/>
                <w:szCs w:val="21"/>
              </w:rPr>
            </w:pPr>
          </w:p>
        </w:tc>
        <w:tc>
          <w:tcPr>
            <w:tcW w:w="4105" w:type="dxa"/>
            <w:vAlign w:val="center"/>
          </w:tcPr>
          <w:p>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新宋体" w:cs="Times New Roman"/>
                <w:kern w:val="0"/>
                <w:sz w:val="21"/>
                <w:szCs w:val="21"/>
              </w:rPr>
            </w:pPr>
            <w:r>
              <w:rPr>
                <w:rFonts w:hint="default" w:ascii="Times New Roman" w:hAnsi="Times New Roman" w:eastAsia="新宋体" w:cs="Times New Roman"/>
                <w:kern w:val="0"/>
                <w:sz w:val="21"/>
                <w:szCs w:val="21"/>
              </w:rPr>
              <w:t>危险化学品单位应当制定本单位危险化学品事故应急预案，配备应急救援人员和必要的应急救援器材、设备，并定期组织应急救援演练。</w:t>
            </w:r>
          </w:p>
          <w:p>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新宋体" w:cs="Times New Roman"/>
                <w:kern w:val="0"/>
                <w:sz w:val="21"/>
                <w:szCs w:val="21"/>
              </w:rPr>
            </w:pPr>
            <w:r>
              <w:rPr>
                <w:rFonts w:hint="default" w:ascii="Times New Roman" w:hAnsi="Times New Roman" w:eastAsia="新宋体" w:cs="Times New Roman"/>
                <w:kern w:val="0"/>
                <w:sz w:val="21"/>
                <w:szCs w:val="21"/>
              </w:rPr>
              <w:t>　　危险化学品单位应当将其危险化学品事故应急预案报所在地设区的市级人民政府安全生产监督管理部门备案</w:t>
            </w:r>
          </w:p>
        </w:tc>
        <w:tc>
          <w:tcPr>
            <w:tcW w:w="653"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《危险化学品安全管理条例》</w:t>
            </w:r>
            <w:r>
              <w:rPr>
                <w:rFonts w:hint="default" w:ascii="Times New Roman" w:hAnsi="Times New Roman" w:eastAsia="新宋体" w:cs="Times New Roman"/>
                <w:kern w:val="0"/>
                <w:sz w:val="21"/>
                <w:szCs w:val="21"/>
              </w:rPr>
              <w:t>第七十条</w:t>
            </w:r>
          </w:p>
        </w:tc>
        <w:tc>
          <w:tcPr>
            <w:tcW w:w="2575" w:type="dxa"/>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eastAsia="新宋体" w:cs="Times New Roman"/>
                <w:kern w:val="0"/>
                <w:sz w:val="21"/>
                <w:szCs w:val="21"/>
              </w:rPr>
              <w:t>制定本单位危险化学品事故应急预案，配备应急救援人员和必要的应急救援器材、设备，定期组织应急救援演练并已备案。</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新宋体" w:cs="Times New Roman"/>
                <w:kern w:val="0"/>
                <w:sz w:val="21"/>
                <w:szCs w:val="21"/>
              </w:rPr>
            </w:pPr>
            <w:r>
              <w:rPr>
                <w:rFonts w:hint="default" w:ascii="Times New Roman" w:hAnsi="Times New Roman" w:eastAsia="新宋体" w:cs="Times New Roman"/>
                <w:kern w:val="0"/>
                <w:sz w:val="21"/>
                <w:szCs w:val="21"/>
              </w:rPr>
              <w:t>化工装置安全标志应按现行国家标准《安全标志及其使用导则》GB2894执行，职业病危害因素警示标志应按现行国家标准《工业场所职业病危害警示标志》GBZ158执行。安全标志和职业病危害警示标识宜联合设置。</w:t>
            </w:r>
          </w:p>
        </w:tc>
        <w:tc>
          <w:tcPr>
            <w:tcW w:w="653"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《化工企业安全卫生设计规范》6.2.1</w:t>
            </w:r>
          </w:p>
        </w:tc>
        <w:tc>
          <w:tcPr>
            <w:tcW w:w="2575" w:type="dxa"/>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设置有职业病危害警示标识。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新宋体" w:cs="Times New Roman"/>
                <w:kern w:val="0"/>
                <w:sz w:val="21"/>
                <w:szCs w:val="21"/>
              </w:rPr>
            </w:pPr>
            <w:r>
              <w:rPr>
                <w:rFonts w:hint="default" w:ascii="Times New Roman" w:hAnsi="Times New Roman" w:eastAsia="新宋体" w:cs="Times New Roman"/>
                <w:kern w:val="0"/>
                <w:sz w:val="21"/>
                <w:szCs w:val="21"/>
              </w:rPr>
              <w:t>化工装置区、油库、罐区、化学危险品仓库等危险区应设置永久性“严禁烟火”标志。</w:t>
            </w:r>
          </w:p>
        </w:tc>
        <w:tc>
          <w:tcPr>
            <w:tcW w:w="653"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《化工企业安全卫生设计规范》6.2.2</w:t>
            </w:r>
          </w:p>
        </w:tc>
        <w:tc>
          <w:tcPr>
            <w:tcW w:w="2575" w:type="dxa"/>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eastAsia="新宋体" w:cs="Times New Roman"/>
                <w:kern w:val="0"/>
                <w:sz w:val="21"/>
                <w:szCs w:val="21"/>
              </w:rPr>
            </w:pPr>
            <w:r>
              <w:rPr>
                <w:rFonts w:hint="default" w:ascii="Times New Roman" w:hAnsi="Times New Roman" w:eastAsia="新宋体" w:cs="Times New Roman"/>
                <w:kern w:val="0"/>
                <w:sz w:val="21"/>
                <w:szCs w:val="21"/>
              </w:rPr>
              <w:t>设置永久性“严禁烟火”标志。</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kinsoku/>
              <w:wordWrap/>
              <w:overflowPunct/>
              <w:topLinePunct w:val="0"/>
              <w:autoSpaceDE/>
              <w:autoSpaceDN/>
              <w:bidi w:val="0"/>
              <w:adjustRightInd/>
              <w:snapToGrid/>
              <w:spacing w:line="300" w:lineRule="exact"/>
              <w:jc w:val="left"/>
              <w:textAlignment w:val="auto"/>
              <w:rPr>
                <w:rFonts w:hint="default" w:ascii="Times New Roman" w:hAnsi="Times New Roman" w:eastAsia="新宋体" w:cs="Times New Roman"/>
                <w:kern w:val="0"/>
                <w:sz w:val="21"/>
                <w:szCs w:val="21"/>
              </w:rPr>
            </w:pPr>
            <w:r>
              <w:rPr>
                <w:rFonts w:hint="default" w:ascii="Times New Roman" w:hAnsi="Times New Roman" w:eastAsia="新宋体" w:cs="Times New Roman"/>
                <w:kern w:val="0"/>
                <w:sz w:val="21"/>
                <w:szCs w:val="21"/>
              </w:rPr>
              <w:t>在有害有毒的化工生产区域，应设置风向标。</w:t>
            </w:r>
          </w:p>
        </w:tc>
        <w:tc>
          <w:tcPr>
            <w:tcW w:w="653"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《化工企业安全卫生设计规范》6.2.3</w:t>
            </w:r>
          </w:p>
        </w:tc>
        <w:tc>
          <w:tcPr>
            <w:tcW w:w="2575" w:type="dxa"/>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eastAsia="新宋体" w:cs="Times New Roman"/>
                <w:kern w:val="0"/>
                <w:sz w:val="21"/>
                <w:szCs w:val="21"/>
              </w:rPr>
            </w:pPr>
            <w:r>
              <w:rPr>
                <w:rFonts w:hint="default" w:ascii="Times New Roman" w:hAnsi="Times New Roman" w:cs="Times New Roman"/>
                <w:sz w:val="21"/>
                <w:szCs w:val="21"/>
              </w:rPr>
              <w:t>生产车间上有风向标。</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eastAsia="新宋体" w:cs="Times New Roman"/>
                <w:kern w:val="0"/>
                <w:sz w:val="21"/>
                <w:szCs w:val="21"/>
              </w:rPr>
            </w:pPr>
            <w:r>
              <w:rPr>
                <w:rFonts w:hint="default" w:ascii="Times New Roman" w:hAnsi="Times New Roman" w:cs="Times New Roman"/>
                <w:kern w:val="0"/>
                <w:sz w:val="21"/>
                <w:szCs w:val="21"/>
              </w:rPr>
              <w:t>（四）生产区与非生产区分开设置，并符合国家标准或者行业标准规定的距离；</w:t>
            </w:r>
          </w:p>
        </w:tc>
        <w:tc>
          <w:tcPr>
            <w:tcW w:w="653"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《生产企业安全生产许可证实施办法》</w:t>
            </w:r>
            <w:r>
              <w:rPr>
                <w:rFonts w:hint="default" w:ascii="Times New Roman" w:hAnsi="Times New Roman" w:cs="Times New Roman"/>
                <w:kern w:val="0"/>
                <w:sz w:val="21"/>
                <w:szCs w:val="21"/>
              </w:rPr>
              <w:t>第九条</w:t>
            </w:r>
          </w:p>
        </w:tc>
        <w:tc>
          <w:tcPr>
            <w:tcW w:w="2575" w:type="dxa"/>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eastAsia="新宋体" w:cs="Times New Roman"/>
                <w:kern w:val="0"/>
                <w:sz w:val="21"/>
                <w:szCs w:val="21"/>
              </w:rPr>
            </w:pPr>
            <w:r>
              <w:rPr>
                <w:rFonts w:hint="default" w:ascii="Times New Roman" w:hAnsi="Times New Roman" w:cs="Times New Roman"/>
                <w:kern w:val="0"/>
                <w:sz w:val="21"/>
                <w:szCs w:val="21"/>
              </w:rPr>
              <w:t>生产区与非生产区分开设置，其距离符合国家标准或者行业标准规定</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kinsoku/>
              <w:wordWrap/>
              <w:overflowPunct/>
              <w:topLinePunct w:val="0"/>
              <w:autoSpaceDE/>
              <w:autoSpaceDN/>
              <w:bidi w:val="0"/>
              <w:adjustRightInd/>
              <w:snapToGrid/>
              <w:spacing w:line="290" w:lineRule="exact"/>
              <w:jc w:val="lef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（五）危险化学品生产装置和储存设施之间及其与建（构）筑物之间的距离符合有关标准规范的规定。</w:t>
            </w:r>
          </w:p>
        </w:tc>
        <w:tc>
          <w:tcPr>
            <w:tcW w:w="653" w:type="dxa"/>
            <w:vAlign w:val="center"/>
          </w:tcPr>
          <w:p>
            <w:pPr>
              <w:keepNext w:val="0"/>
              <w:keepLines w:val="0"/>
              <w:pageBreakBefore w:val="0"/>
              <w:kinsoku/>
              <w:wordWrap/>
              <w:overflowPunct/>
              <w:topLinePunct w:val="0"/>
              <w:autoSpaceDE/>
              <w:autoSpaceDN/>
              <w:bidi w:val="0"/>
              <w:adjustRightInd/>
              <w:snapToGrid/>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《生产企业安全生产许可证实施办法》</w:t>
            </w:r>
            <w:r>
              <w:rPr>
                <w:rFonts w:hint="default" w:ascii="Times New Roman" w:hAnsi="Times New Roman" w:cs="Times New Roman"/>
                <w:kern w:val="0"/>
                <w:sz w:val="21"/>
                <w:szCs w:val="21"/>
              </w:rPr>
              <w:t>第九条</w:t>
            </w:r>
          </w:p>
        </w:tc>
        <w:tc>
          <w:tcPr>
            <w:tcW w:w="2575" w:type="dxa"/>
            <w:vAlign w:val="center"/>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生产装置和储存设施之间及其与建（构）筑物之间的距离符合有关标准规范的规定。</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kinsoku/>
              <w:wordWrap/>
              <w:overflowPunct/>
              <w:topLinePunct w:val="0"/>
              <w:autoSpaceDE/>
              <w:autoSpaceDN/>
              <w:bidi w:val="0"/>
              <w:adjustRightInd/>
              <w:snapToGrid/>
              <w:spacing w:line="290" w:lineRule="exact"/>
              <w:jc w:val="lef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企业应当根据危险化学品的生产工艺、技术、设备特点和原辅料、产品的危险性编制岗位操作安全规程。</w:t>
            </w:r>
          </w:p>
        </w:tc>
        <w:tc>
          <w:tcPr>
            <w:tcW w:w="653" w:type="dxa"/>
            <w:vAlign w:val="center"/>
          </w:tcPr>
          <w:p>
            <w:pPr>
              <w:keepNext w:val="0"/>
              <w:keepLines w:val="0"/>
              <w:pageBreakBefore w:val="0"/>
              <w:kinsoku/>
              <w:wordWrap/>
              <w:overflowPunct/>
              <w:topLinePunct w:val="0"/>
              <w:autoSpaceDE/>
              <w:autoSpaceDN/>
              <w:bidi w:val="0"/>
              <w:adjustRightInd/>
              <w:snapToGrid/>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vAlign w:val="center"/>
          </w:tcPr>
          <w:p>
            <w:pPr>
              <w:keepNext w:val="0"/>
              <w:keepLines w:val="0"/>
              <w:pageBreakBefore w:val="0"/>
              <w:kinsoku/>
              <w:wordWrap/>
              <w:overflowPunct/>
              <w:topLinePunct w:val="0"/>
              <w:autoSpaceDE/>
              <w:autoSpaceDN/>
              <w:bidi w:val="0"/>
              <w:adjustRightInd/>
              <w:snapToGrid/>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《危险化学品生产企业安全生产许可证实施办法》</w:t>
            </w:r>
            <w:r>
              <w:rPr>
                <w:rFonts w:hint="default" w:ascii="Times New Roman" w:hAnsi="Times New Roman" w:cs="Times New Roman"/>
                <w:kern w:val="0"/>
                <w:sz w:val="21"/>
                <w:szCs w:val="21"/>
              </w:rPr>
              <w:t>第十五条</w:t>
            </w:r>
          </w:p>
        </w:tc>
        <w:tc>
          <w:tcPr>
            <w:tcW w:w="2575" w:type="dxa"/>
            <w:vAlign w:val="center"/>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该公司已编制岗位操作安全规程。</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kinsoku/>
              <w:wordWrap/>
              <w:overflowPunct/>
              <w:topLinePunct w:val="0"/>
              <w:autoSpaceDE/>
              <w:autoSpaceDN/>
              <w:bidi w:val="0"/>
              <w:adjustRightInd/>
              <w:snapToGrid/>
              <w:spacing w:line="290" w:lineRule="exact"/>
              <w:jc w:val="left"/>
              <w:textAlignment w:val="auto"/>
              <w:rPr>
                <w:rFonts w:hint="default" w:ascii="Times New Roman" w:hAnsi="Times New Roman" w:cs="Times New Roman"/>
                <w:kern w:val="0"/>
                <w:sz w:val="21"/>
                <w:szCs w:val="21"/>
              </w:rPr>
            </w:pPr>
            <w:r>
              <w:rPr>
                <w:rFonts w:hint="default" w:ascii="Times New Roman" w:hAnsi="Times New Roman" w:cs="Times New Roman"/>
                <w:spacing w:val="8"/>
                <w:sz w:val="21"/>
                <w:szCs w:val="21"/>
              </w:rPr>
              <w:t>企业应当依法设置</w:t>
            </w:r>
            <w:r>
              <w:rPr>
                <w:rFonts w:hint="default" w:ascii="Times New Roman" w:hAnsi="Times New Roman" w:cs="Times New Roman"/>
              </w:rPr>
              <w:fldChar w:fldCharType="begin"/>
            </w:r>
            <w:r>
              <w:rPr>
                <w:rFonts w:hint="default" w:ascii="Times New Roman" w:hAnsi="Times New Roman" w:cs="Times New Roman"/>
              </w:rPr>
              <w:instrText xml:space="preserve"> HYPERLINK "http://baike.baidu.com/view/3111097.htm" \t "_blank" </w:instrText>
            </w:r>
            <w:r>
              <w:rPr>
                <w:rFonts w:hint="default" w:ascii="Times New Roman" w:hAnsi="Times New Roman" w:cs="Times New Roman"/>
              </w:rPr>
              <w:fldChar w:fldCharType="separate"/>
            </w:r>
            <w:r>
              <w:rPr>
                <w:rStyle w:val="33"/>
                <w:rFonts w:hint="default" w:ascii="Times New Roman" w:hAnsi="Times New Roman" w:cs="Times New Roman"/>
                <w:color w:val="auto"/>
                <w:spacing w:val="8"/>
                <w:sz w:val="21"/>
                <w:szCs w:val="21"/>
                <w:u w:val="none"/>
              </w:rPr>
              <w:t>安全生产管理</w:t>
            </w:r>
            <w:r>
              <w:rPr>
                <w:rStyle w:val="33"/>
                <w:rFonts w:hint="default" w:ascii="Times New Roman" w:hAnsi="Times New Roman" w:cs="Times New Roman"/>
                <w:color w:val="auto"/>
                <w:spacing w:val="8"/>
                <w:sz w:val="21"/>
                <w:szCs w:val="21"/>
                <w:u w:val="none"/>
              </w:rPr>
              <w:fldChar w:fldCharType="end"/>
            </w:r>
            <w:r>
              <w:rPr>
                <w:rFonts w:hint="default" w:ascii="Times New Roman" w:hAnsi="Times New Roman" w:cs="Times New Roman"/>
                <w:spacing w:val="8"/>
                <w:sz w:val="21"/>
                <w:szCs w:val="21"/>
              </w:rPr>
              <w:t>机构，配备专职安全生产管理人员。配备的专职安全生产管理人员必须能够满足安全生产的需要。</w:t>
            </w:r>
          </w:p>
        </w:tc>
        <w:tc>
          <w:tcPr>
            <w:tcW w:w="653" w:type="dxa"/>
            <w:vAlign w:val="center"/>
          </w:tcPr>
          <w:p>
            <w:pPr>
              <w:keepNext w:val="0"/>
              <w:keepLines w:val="0"/>
              <w:pageBreakBefore w:val="0"/>
              <w:kinsoku/>
              <w:wordWrap/>
              <w:overflowPunct/>
              <w:topLinePunct w:val="0"/>
              <w:autoSpaceDE/>
              <w:autoSpaceDN/>
              <w:bidi w:val="0"/>
              <w:adjustRightInd/>
              <w:snapToGrid/>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《危险化学品生产企业安全生产许可证实施办法》</w:t>
            </w:r>
            <w:r>
              <w:rPr>
                <w:rFonts w:hint="default" w:ascii="Times New Roman" w:hAnsi="Times New Roman" w:cs="Times New Roman"/>
                <w:spacing w:val="8"/>
                <w:sz w:val="21"/>
                <w:szCs w:val="21"/>
              </w:rPr>
              <w:t>第十二条</w:t>
            </w:r>
          </w:p>
        </w:tc>
        <w:tc>
          <w:tcPr>
            <w:tcW w:w="2575" w:type="dxa"/>
            <w:vAlign w:val="center"/>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依法设置</w:t>
            </w:r>
            <w:r>
              <w:rPr>
                <w:rFonts w:hint="default" w:ascii="Times New Roman" w:hAnsi="Times New Roman" w:cs="Times New Roman"/>
              </w:rPr>
              <w:fldChar w:fldCharType="begin"/>
            </w:r>
            <w:r>
              <w:rPr>
                <w:rFonts w:hint="default" w:ascii="Times New Roman" w:hAnsi="Times New Roman" w:cs="Times New Roman"/>
              </w:rPr>
              <w:instrText xml:space="preserve"> HYPERLINK "http://baike.baidu.com/view/3111097.htm" \t "_blank" </w:instrText>
            </w:r>
            <w:r>
              <w:rPr>
                <w:rFonts w:hint="default" w:ascii="Times New Roman" w:hAnsi="Times New Roman" w:cs="Times New Roman"/>
              </w:rPr>
              <w:fldChar w:fldCharType="separate"/>
            </w:r>
            <w:r>
              <w:rPr>
                <w:rStyle w:val="33"/>
                <w:rFonts w:hint="default" w:ascii="Times New Roman" w:hAnsi="Times New Roman" w:cs="Times New Roman"/>
                <w:color w:val="auto"/>
                <w:spacing w:val="8"/>
                <w:sz w:val="21"/>
                <w:szCs w:val="21"/>
                <w:u w:val="none"/>
              </w:rPr>
              <w:t>安全生产管理</w:t>
            </w:r>
            <w:r>
              <w:rPr>
                <w:rStyle w:val="33"/>
                <w:rFonts w:hint="default" w:ascii="Times New Roman" w:hAnsi="Times New Roman" w:cs="Times New Roman"/>
                <w:color w:val="auto"/>
                <w:spacing w:val="8"/>
                <w:sz w:val="21"/>
                <w:szCs w:val="21"/>
                <w:u w:val="none"/>
              </w:rPr>
              <w:fldChar w:fldCharType="end"/>
            </w:r>
            <w:r>
              <w:rPr>
                <w:rFonts w:hint="default" w:ascii="Times New Roman" w:hAnsi="Times New Roman" w:cs="Times New Roman"/>
                <w:spacing w:val="8"/>
                <w:sz w:val="21"/>
                <w:szCs w:val="21"/>
              </w:rPr>
              <w:t>机构，配备专职安全生产管理人员。</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kinsoku/>
              <w:wordWrap/>
              <w:overflowPunct/>
              <w:topLinePunct w:val="0"/>
              <w:autoSpaceDE/>
              <w:autoSpaceDN/>
              <w:bidi w:val="0"/>
              <w:adjustRightInd/>
              <w:snapToGrid/>
              <w:spacing w:line="290" w:lineRule="exact"/>
              <w:jc w:val="left"/>
              <w:textAlignment w:val="auto"/>
              <w:rPr>
                <w:rFonts w:hint="default" w:ascii="Times New Roman" w:hAnsi="Times New Roman" w:cs="Times New Roman"/>
                <w:kern w:val="0"/>
                <w:sz w:val="21"/>
                <w:szCs w:val="21"/>
              </w:rPr>
            </w:pPr>
            <w:r>
              <w:rPr>
                <w:rFonts w:hint="default" w:ascii="Times New Roman" w:hAnsi="Times New Roman" w:cs="Times New Roman"/>
                <w:spacing w:val="8"/>
                <w:sz w:val="21"/>
                <w:szCs w:val="21"/>
              </w:rPr>
              <w:t>企业应当建立全员</w:t>
            </w:r>
            <w:r>
              <w:rPr>
                <w:rFonts w:hint="default" w:ascii="Times New Roman" w:hAnsi="Times New Roman" w:cs="Times New Roman"/>
              </w:rPr>
              <w:fldChar w:fldCharType="begin"/>
            </w:r>
            <w:r>
              <w:rPr>
                <w:rFonts w:hint="default" w:ascii="Times New Roman" w:hAnsi="Times New Roman" w:cs="Times New Roman"/>
              </w:rPr>
              <w:instrText xml:space="preserve"> HYPERLINK "http://baike.baidu.com/view/883439.htm" \t "_blank" </w:instrText>
            </w:r>
            <w:r>
              <w:rPr>
                <w:rFonts w:hint="default" w:ascii="Times New Roman" w:hAnsi="Times New Roman" w:cs="Times New Roman"/>
              </w:rPr>
              <w:fldChar w:fldCharType="separate"/>
            </w:r>
            <w:r>
              <w:rPr>
                <w:rStyle w:val="33"/>
                <w:rFonts w:hint="default" w:ascii="Times New Roman" w:hAnsi="Times New Roman" w:cs="Times New Roman"/>
                <w:color w:val="auto"/>
                <w:spacing w:val="8"/>
                <w:sz w:val="21"/>
                <w:szCs w:val="21"/>
                <w:u w:val="none"/>
              </w:rPr>
              <w:t>安全生产责任制</w:t>
            </w:r>
            <w:r>
              <w:rPr>
                <w:rStyle w:val="33"/>
                <w:rFonts w:hint="default" w:ascii="Times New Roman" w:hAnsi="Times New Roman" w:cs="Times New Roman"/>
                <w:color w:val="auto"/>
                <w:spacing w:val="8"/>
                <w:sz w:val="21"/>
                <w:szCs w:val="21"/>
                <w:u w:val="none"/>
              </w:rPr>
              <w:fldChar w:fldCharType="end"/>
            </w:r>
            <w:r>
              <w:rPr>
                <w:rFonts w:hint="default" w:ascii="Times New Roman" w:hAnsi="Times New Roman" w:cs="Times New Roman"/>
                <w:spacing w:val="8"/>
                <w:sz w:val="21"/>
                <w:szCs w:val="21"/>
              </w:rPr>
              <w:t>，保证每位从业人员的安全生产责任与职务、岗位相匹配。</w:t>
            </w:r>
          </w:p>
        </w:tc>
        <w:tc>
          <w:tcPr>
            <w:tcW w:w="653" w:type="dxa"/>
            <w:vAlign w:val="center"/>
          </w:tcPr>
          <w:p>
            <w:pPr>
              <w:keepNext w:val="0"/>
              <w:keepLines w:val="0"/>
              <w:pageBreakBefore w:val="0"/>
              <w:kinsoku/>
              <w:wordWrap/>
              <w:overflowPunct/>
              <w:topLinePunct w:val="0"/>
              <w:autoSpaceDE/>
              <w:autoSpaceDN/>
              <w:bidi w:val="0"/>
              <w:adjustRightInd/>
              <w:snapToGrid/>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《危险化学品生产企业安全生产许可证实施办法》</w:t>
            </w:r>
            <w:r>
              <w:rPr>
                <w:rFonts w:hint="default" w:ascii="Times New Roman" w:hAnsi="Times New Roman" w:cs="Times New Roman"/>
                <w:spacing w:val="8"/>
                <w:sz w:val="21"/>
                <w:szCs w:val="21"/>
              </w:rPr>
              <w:t>第十三条</w:t>
            </w:r>
          </w:p>
        </w:tc>
        <w:tc>
          <w:tcPr>
            <w:tcW w:w="2575" w:type="dxa"/>
            <w:vAlign w:val="center"/>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建立全员</w:t>
            </w:r>
            <w:r>
              <w:rPr>
                <w:rFonts w:hint="default" w:ascii="Times New Roman" w:hAnsi="Times New Roman" w:cs="Times New Roman"/>
              </w:rPr>
              <w:fldChar w:fldCharType="begin"/>
            </w:r>
            <w:r>
              <w:rPr>
                <w:rFonts w:hint="default" w:ascii="Times New Roman" w:hAnsi="Times New Roman" w:cs="Times New Roman"/>
              </w:rPr>
              <w:instrText xml:space="preserve"> HYPERLINK "http://baike.baidu.com/view/883439.htm" \t "_blank" </w:instrText>
            </w:r>
            <w:r>
              <w:rPr>
                <w:rFonts w:hint="default" w:ascii="Times New Roman" w:hAnsi="Times New Roman" w:cs="Times New Roman"/>
              </w:rPr>
              <w:fldChar w:fldCharType="separate"/>
            </w:r>
            <w:r>
              <w:rPr>
                <w:rStyle w:val="33"/>
                <w:rFonts w:hint="default" w:ascii="Times New Roman" w:hAnsi="Times New Roman" w:cs="Times New Roman"/>
                <w:color w:val="auto"/>
                <w:spacing w:val="8"/>
                <w:sz w:val="21"/>
                <w:szCs w:val="21"/>
                <w:u w:val="none"/>
              </w:rPr>
              <w:t>安全生产责任制</w:t>
            </w:r>
            <w:r>
              <w:rPr>
                <w:rStyle w:val="33"/>
                <w:rFonts w:hint="default" w:ascii="Times New Roman" w:hAnsi="Times New Roman" w:cs="Times New Roman"/>
                <w:color w:val="auto"/>
                <w:spacing w:val="8"/>
                <w:sz w:val="21"/>
                <w:szCs w:val="21"/>
                <w:u w:val="none"/>
              </w:rPr>
              <w:fldChar w:fldCharType="end"/>
            </w:r>
            <w:r>
              <w:rPr>
                <w:rFonts w:hint="default" w:ascii="Times New Roman" w:hAnsi="Times New Roman" w:cs="Times New Roman"/>
                <w:spacing w:val="8"/>
                <w:sz w:val="21"/>
                <w:szCs w:val="21"/>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企业应当根据化工工艺、装置、设施等实际情况，制定完善下列主要安全生产规章制度：</w:t>
            </w:r>
          </w:p>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（一）安全生产例会等安全生产会议制度；</w:t>
            </w:r>
          </w:p>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（二）安全投入保障制度；（三）安全生产奖惩制度；（四）安全培训教育制度；</w:t>
            </w:r>
          </w:p>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（五）领导干部轮流现场带班制度；（六）特种作业人员管理制度；（七）安全检查和隐患排查治理制度； （八）重大危险源评估和安全管理制度； （九）变更管理制度；</w:t>
            </w:r>
          </w:p>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十）应急管理制度；（十一）生产安全事故或者重大事件管理制度；（十二）防火、防爆、防中毒、防泄漏管理制度；（十三）工艺、设备、电气仪表、公用工程安全管理制度；（十四）动火、进入受限空间、吊装、高处、盲板抽堵、动土、断路、设备检维修等作业安全管理制度；（十五）危险化学品安全管理制度；（十六）职业健康相关管理制度；（十七）劳动防护用品使用维护管理制度；（十八）承包商管理制度；</w:t>
            </w:r>
          </w:p>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（十九）安全管理制度及操作规程定期修订制度。</w:t>
            </w:r>
          </w:p>
        </w:tc>
        <w:tc>
          <w:tcPr>
            <w:tcW w:w="653" w:type="dxa"/>
            <w:vAlign w:val="center"/>
          </w:tcPr>
          <w:p>
            <w:pPr>
              <w:keepNext w:val="0"/>
              <w:keepLines w:val="0"/>
              <w:pageBreakBefore w:val="0"/>
              <w:kinsoku/>
              <w:wordWrap/>
              <w:overflowPunct/>
              <w:topLinePunct w:val="0"/>
              <w:autoSpaceDE/>
              <w:autoSpaceDN/>
              <w:bidi w:val="0"/>
              <w:adjustRightInd/>
              <w:snapToGrid/>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《危险化学品生产企业安全生产许可证实施办法》第十四条</w:t>
            </w:r>
          </w:p>
        </w:tc>
        <w:tc>
          <w:tcPr>
            <w:tcW w:w="2575" w:type="dxa"/>
            <w:vAlign w:val="center"/>
          </w:tcPr>
          <w:p>
            <w:pPr>
              <w:keepNext w:val="0"/>
              <w:keepLines w:val="0"/>
              <w:pageBreakBefore w:val="0"/>
              <w:widowControl/>
              <w:kinsoku/>
              <w:wordWrap/>
              <w:overflowPunct/>
              <w:topLinePunct w:val="0"/>
              <w:autoSpaceDE/>
              <w:autoSpaceDN/>
              <w:bidi w:val="0"/>
              <w:adjustRightInd/>
              <w:snapToGrid/>
              <w:spacing w:line="29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已制定相关制度。</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mallCaps/>
                <w:sz w:val="21"/>
                <w:szCs w:val="21"/>
              </w:rPr>
            </w:pPr>
            <w:r>
              <w:rPr>
                <w:rFonts w:hint="default" w:ascii="Times New Roman" w:hAnsi="Times New Roman" w:cs="Times New Roman"/>
                <w:smallCaps/>
                <w:sz w:val="21"/>
                <w:szCs w:val="21"/>
              </w:rPr>
              <w:t>企业主要负责人、分管安全负责人和安全生产管理人员必须具备与其从事的生产经营活动相适应的安全生产知识和管理能力，依法参加安全生产培训，并经考核合格，取得安全资格证书。</w:t>
            </w:r>
          </w:p>
        </w:tc>
        <w:tc>
          <w:tcPr>
            <w:tcW w:w="653" w:type="dxa"/>
            <w:vAlign w:val="center"/>
          </w:tcPr>
          <w:p>
            <w:pPr>
              <w:keepNext w:val="0"/>
              <w:keepLines w:val="0"/>
              <w:pageBreakBefore w:val="0"/>
              <w:kinsoku/>
              <w:wordWrap/>
              <w:overflowPunct/>
              <w:topLinePunct w:val="0"/>
              <w:autoSpaceDE/>
              <w:autoSpaceDN/>
              <w:bidi w:val="0"/>
              <w:adjustRightInd/>
              <w:snapToGrid/>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《危险化学品生产企业安全生产许可证实施办法》</w:t>
            </w:r>
            <w:r>
              <w:rPr>
                <w:rFonts w:hint="default" w:ascii="Times New Roman" w:hAnsi="Times New Roman" w:cs="Times New Roman"/>
                <w:smallCaps/>
                <w:sz w:val="21"/>
                <w:szCs w:val="21"/>
              </w:rPr>
              <w:t>第十六条</w:t>
            </w:r>
          </w:p>
        </w:tc>
        <w:tc>
          <w:tcPr>
            <w:tcW w:w="2575" w:type="dxa"/>
            <w:vAlign w:val="center"/>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mallCaps/>
                <w:sz w:val="21"/>
                <w:szCs w:val="21"/>
              </w:rPr>
              <w:t>企业主要负责人、分管安全负责人和安全生产管理人员依法参加安全生产培训，并经考核合格，取得安全资格证书。</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kinsoku/>
              <w:wordWrap/>
              <w:overflowPunct/>
              <w:topLinePunct w:val="0"/>
              <w:autoSpaceDE/>
              <w:autoSpaceDN/>
              <w:bidi w:val="0"/>
              <w:adjustRightInd/>
              <w:snapToGrid/>
              <w:spacing w:after="100" w:afterAutospacing="1" w:line="290" w:lineRule="exact"/>
              <w:jc w:val="left"/>
              <w:textAlignment w:val="auto"/>
              <w:rPr>
                <w:rFonts w:hint="default" w:ascii="Times New Roman" w:hAnsi="Times New Roman" w:cs="Times New Roman"/>
                <w:smallCaps/>
                <w:sz w:val="21"/>
                <w:szCs w:val="21"/>
              </w:rPr>
            </w:pPr>
            <w:r>
              <w:rPr>
                <w:rFonts w:hint="default" w:ascii="Times New Roman" w:hAnsi="Times New Roman" w:cs="Times New Roman"/>
                <w:kern w:val="0"/>
                <w:sz w:val="21"/>
                <w:szCs w:val="21"/>
              </w:rPr>
              <w:t>企业应当按照国家规定提取与安全生产有关的费用，并保证安全生产所必须的资金投入。</w:t>
            </w:r>
          </w:p>
        </w:tc>
        <w:tc>
          <w:tcPr>
            <w:tcW w:w="653" w:type="dxa"/>
            <w:vAlign w:val="center"/>
          </w:tcPr>
          <w:p>
            <w:pPr>
              <w:keepNext w:val="0"/>
              <w:keepLines w:val="0"/>
              <w:pageBreakBefore w:val="0"/>
              <w:kinsoku/>
              <w:wordWrap/>
              <w:overflowPunct/>
              <w:topLinePunct w:val="0"/>
              <w:autoSpaceDE/>
              <w:autoSpaceDN/>
              <w:bidi w:val="0"/>
              <w:adjustRightInd/>
              <w:snapToGrid/>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《危险化学品生产企业安全生产许可证实施办法》</w:t>
            </w:r>
            <w:r>
              <w:rPr>
                <w:rFonts w:hint="default" w:ascii="Times New Roman" w:hAnsi="Times New Roman" w:cs="Times New Roman"/>
                <w:kern w:val="0"/>
                <w:sz w:val="21"/>
                <w:szCs w:val="21"/>
              </w:rPr>
              <w:t>第十七条</w:t>
            </w:r>
          </w:p>
        </w:tc>
        <w:tc>
          <w:tcPr>
            <w:tcW w:w="2575" w:type="dxa"/>
            <w:vAlign w:val="center"/>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按照国家规定提取与安全生产有关的费用，并保证安全生产所必须的资金投入。</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mallCaps/>
                <w:sz w:val="21"/>
                <w:szCs w:val="21"/>
              </w:rPr>
            </w:pPr>
            <w:r>
              <w:rPr>
                <w:rFonts w:hint="default" w:ascii="Times New Roman" w:hAnsi="Times New Roman" w:cs="Times New Roman"/>
                <w:kern w:val="0"/>
                <w:sz w:val="21"/>
                <w:szCs w:val="21"/>
              </w:rPr>
              <w:t>企业应当依法参加工伤保险，为从业人员缴纳保险费。</w:t>
            </w:r>
          </w:p>
        </w:tc>
        <w:tc>
          <w:tcPr>
            <w:tcW w:w="653" w:type="dxa"/>
            <w:vAlign w:val="center"/>
          </w:tcPr>
          <w:p>
            <w:pPr>
              <w:keepNext w:val="0"/>
              <w:keepLines w:val="0"/>
              <w:pageBreakBefore w:val="0"/>
              <w:kinsoku/>
              <w:wordWrap/>
              <w:overflowPunct/>
              <w:topLinePunct w:val="0"/>
              <w:autoSpaceDE/>
              <w:autoSpaceDN/>
              <w:bidi w:val="0"/>
              <w:adjustRightInd/>
              <w:snapToGrid/>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《危险化学品生产企业安全生产许可证实施办法》</w:t>
            </w:r>
            <w:r>
              <w:rPr>
                <w:rFonts w:hint="default" w:ascii="Times New Roman" w:hAnsi="Times New Roman" w:cs="Times New Roman"/>
                <w:kern w:val="0"/>
                <w:sz w:val="21"/>
                <w:szCs w:val="21"/>
              </w:rPr>
              <w:t>第十八条</w:t>
            </w:r>
          </w:p>
        </w:tc>
        <w:tc>
          <w:tcPr>
            <w:tcW w:w="2575" w:type="dxa"/>
            <w:vAlign w:val="center"/>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依法参加工伤保险，为从业人员缴纳保险费。</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kinsoku/>
              <w:wordWrap/>
              <w:overflowPunct/>
              <w:topLinePunct w:val="0"/>
              <w:autoSpaceDE/>
              <w:autoSpaceDN/>
              <w:bidi w:val="0"/>
              <w:adjustRightInd/>
              <w:snapToGrid/>
              <w:spacing w:line="290" w:lineRule="exact"/>
              <w:jc w:val="left"/>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建立和不断完善安全生产规章制度。企业要主动识别和获取与本企业有关的安全生产法律法规、标准和规范性文件，结合本企业安全生产特点，将法律法规的有关规定和标准的有关要求转化为企业安全生产规章制度或安全操作规程的具体内容，规范全体员工的行为。应建立至少包含以下内容的安全生产规章制度：安全生产例会，工艺管理，开停车管理，设备管理，电气管理，公用工程管理，施工与检维修（特别是动火作业、进入受限空间作业、高处作业、起重作业、临时用电作业、破土作业等）安全规程，安全技术措施管理，变更管理，巡回检查，安全检查和隐患排查治理；干部值班，事故管理，厂区交通安全，防火防爆，防尘防毒，防泄漏，重大危险源，关键装置与重点部位管理；危险化学品安全管理，承包商管理，劳动防护用品管理；安全教育培训，安全生产奖惩等。</w:t>
            </w:r>
          </w:p>
        </w:tc>
        <w:tc>
          <w:tcPr>
            <w:tcW w:w="653" w:type="dxa"/>
            <w:vAlign w:val="center"/>
          </w:tcPr>
          <w:p>
            <w:pPr>
              <w:keepNext w:val="0"/>
              <w:keepLines w:val="0"/>
              <w:pageBreakBefore w:val="0"/>
              <w:kinsoku/>
              <w:wordWrap/>
              <w:overflowPunct/>
              <w:topLinePunct w:val="0"/>
              <w:autoSpaceDE/>
              <w:autoSpaceDN/>
              <w:bidi w:val="0"/>
              <w:adjustRightInd/>
              <w:snapToGrid/>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不</w:t>
            </w:r>
            <w:r>
              <w:rPr>
                <w:rFonts w:hint="default" w:ascii="Times New Roman" w:hAnsi="Times New Roman" w:cs="Times New Roman"/>
                <w:sz w:val="21"/>
                <w:szCs w:val="21"/>
              </w:rPr>
              <w:t>符合</w:t>
            </w:r>
          </w:p>
        </w:tc>
        <w:tc>
          <w:tcPr>
            <w:tcW w:w="1716" w:type="dxa"/>
            <w:vAlign w:val="center"/>
          </w:tcPr>
          <w:p>
            <w:pPr>
              <w:keepNext w:val="0"/>
              <w:keepLines w:val="0"/>
              <w:pageBreakBefore w:val="0"/>
              <w:kinsoku/>
              <w:wordWrap/>
              <w:overflowPunct/>
              <w:topLinePunct w:val="0"/>
              <w:autoSpaceDE/>
              <w:autoSpaceDN/>
              <w:bidi w:val="0"/>
              <w:adjustRightInd/>
              <w:snapToGrid/>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《关于危险化学品企业贯彻落实《国务院关于进一步加强企业安全生产工作的通知》的实施意见》安监总管三〔2010〕186号第2条</w:t>
            </w:r>
          </w:p>
        </w:tc>
        <w:tc>
          <w:tcPr>
            <w:tcW w:w="2575" w:type="dxa"/>
            <w:vAlign w:val="center"/>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kern w:val="0"/>
                <w:sz w:val="21"/>
                <w:szCs w:val="21"/>
              </w:rPr>
              <w:t>建立和完善安全生产规章制</w:t>
            </w:r>
            <w:r>
              <w:rPr>
                <w:rFonts w:hint="default" w:ascii="Times New Roman" w:hAnsi="Times New Roman" w:cs="Times New Roman"/>
                <w:kern w:val="0"/>
                <w:sz w:val="21"/>
                <w:szCs w:val="21"/>
                <w:lang w:eastAsia="zh-CN"/>
              </w:rPr>
              <w:t>，</w:t>
            </w:r>
            <w:r>
              <w:rPr>
                <w:rFonts w:hint="default" w:ascii="Times New Roman" w:hAnsi="Times New Roman" w:cs="Times New Roman"/>
                <w:kern w:val="0"/>
                <w:sz w:val="21"/>
                <w:szCs w:val="21"/>
                <w:lang w:val="en-US" w:eastAsia="zh-CN"/>
              </w:rPr>
              <w:t>但岗位操作规程不完善。</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widowControl/>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加强安全生产管理机构建设。企业要设置安全生产管理机构或配备专职安全生产管理人员。安全生产管理机构要具备相对独立职能。专职安全生产管理人员应不少于企业员工总数的2%（不足50人的企业至少配备1人），要具备化工或安全管理相关专业中专以上学历，有从事化工生产相关工作2年以上经历，取得安全管理人员资格证书。</w:t>
            </w:r>
          </w:p>
        </w:tc>
        <w:tc>
          <w:tcPr>
            <w:tcW w:w="653" w:type="dxa"/>
            <w:vAlign w:val="center"/>
          </w:tcPr>
          <w:p>
            <w:pPr>
              <w:keepNext w:val="0"/>
              <w:keepLines w:val="0"/>
              <w:pageBreakBefore w:val="0"/>
              <w:kinsoku/>
              <w:wordWrap/>
              <w:overflowPunct/>
              <w:topLinePunct w:val="0"/>
              <w:autoSpaceDE/>
              <w:autoSpaceDN/>
              <w:bidi w:val="0"/>
              <w:adjustRightInd/>
              <w:snapToGrid/>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《关于危险化学品企业贯彻落实《国务院关于进一步加强企业安全生产工作的通知》的实施意见》安监总管三〔2010〕186号第3条</w:t>
            </w:r>
          </w:p>
        </w:tc>
        <w:tc>
          <w:tcPr>
            <w:tcW w:w="2575" w:type="dxa"/>
            <w:vAlign w:val="center"/>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设置安全生产管理机构；</w:t>
            </w:r>
            <w:r>
              <w:rPr>
                <w:rFonts w:hint="default" w:ascii="Times New Roman" w:hAnsi="Times New Roman" w:cs="Times New Roman"/>
                <w:sz w:val="21"/>
                <w:szCs w:val="21"/>
              </w:rPr>
              <w:t>配备专职安全生产管理人员。</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矿山、建筑施工单位和危险物品的生产、经营、储存单位的主要负责人和安全生产管理人员，经依法取得相应资质的安全培训机构培训，并由安全生产监督管理部门或者其他负有安全生产监督管理职责的部门依照职权考核合格，发给安全资格证书后方可任职。考核不得收取费用。</w:t>
            </w:r>
          </w:p>
        </w:tc>
        <w:tc>
          <w:tcPr>
            <w:tcW w:w="653" w:type="dxa"/>
            <w:vAlign w:val="center"/>
          </w:tcPr>
          <w:p>
            <w:pPr>
              <w:keepNext w:val="0"/>
              <w:keepLines w:val="0"/>
              <w:pageBreakBefore w:val="0"/>
              <w:kinsoku/>
              <w:wordWrap/>
              <w:overflowPunct/>
              <w:topLinePunct w:val="0"/>
              <w:autoSpaceDE/>
              <w:autoSpaceDN/>
              <w:bidi w:val="0"/>
              <w:adjustRightInd/>
              <w:snapToGrid/>
              <w:spacing w:line="29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《江西省安全生产管理条例》</w:t>
            </w:r>
            <w:r>
              <w:rPr>
                <w:rFonts w:hint="default" w:ascii="Times New Roman" w:hAnsi="Times New Roman" w:cs="Times New Roman"/>
                <w:spacing w:val="8"/>
                <w:sz w:val="21"/>
                <w:szCs w:val="21"/>
              </w:rPr>
              <w:t>第十七条</w:t>
            </w:r>
          </w:p>
        </w:tc>
        <w:tc>
          <w:tcPr>
            <w:tcW w:w="2575" w:type="dxa"/>
            <w:vAlign w:val="center"/>
          </w:tcPr>
          <w:p>
            <w:pPr>
              <w:keepNext w:val="0"/>
              <w:keepLines w:val="0"/>
              <w:pageBreakBefore w:val="0"/>
              <w:kinsoku/>
              <w:wordWrap/>
              <w:overflowPunct/>
              <w:topLinePunct w:val="0"/>
              <w:autoSpaceDE/>
              <w:autoSpaceDN/>
              <w:bidi w:val="0"/>
              <w:adjustRightInd/>
              <w:snapToGrid/>
              <w:spacing w:line="29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主要负责人和安全生产管理人员，已取证。</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生产经营单位应当对下列从业人员进行上岗前的安全生产教育和培训：(一)新进从业人员； (二)离岗1年以上的或者换岗的从业人员； (三)采用新工艺、新技术、新材料或者使用新设备后的有关从业人员。 　　生产经营单位应当对在岗的从业人员定期进行安全生产教育和培训。未经安全生产教育和培训合格的从业人员，不得上岗作业。</w:t>
            </w:r>
          </w:p>
        </w:tc>
        <w:tc>
          <w:tcPr>
            <w:tcW w:w="653"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《江西省安全生产管理条例》</w:t>
            </w:r>
            <w:r>
              <w:rPr>
                <w:rFonts w:hint="default" w:ascii="Times New Roman" w:hAnsi="Times New Roman" w:cs="Times New Roman"/>
                <w:kern w:val="0"/>
                <w:sz w:val="21"/>
                <w:szCs w:val="21"/>
              </w:rPr>
              <w:t>第十八条</w:t>
            </w:r>
          </w:p>
        </w:tc>
        <w:tc>
          <w:tcPr>
            <w:tcW w:w="2575" w:type="dxa"/>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进行上岗前的安全生产教育和培训。</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生产经营单位的安全生产管理机构或者安全生产管理人员应当根据本单位的生产经营特点，对安全生产状况进行经常性检查，对检查中发现的事故隐患等安全问题应当立即处理；不能处理的，应当及时提出处理意见，报本单位有关负责人，并跟踪整改情况，记录在案。</w:t>
            </w:r>
          </w:p>
        </w:tc>
        <w:tc>
          <w:tcPr>
            <w:tcW w:w="653"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《江西省安全生产管理条例》第二十九条</w:t>
            </w:r>
          </w:p>
        </w:tc>
        <w:tc>
          <w:tcPr>
            <w:tcW w:w="2575" w:type="dxa"/>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进行经常性检查，对检查中发现的事故隐患等安全问题立即处理。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jc w:val="center"/>
              <w:rPr>
                <w:rFonts w:hint="default" w:ascii="Times New Roman" w:hAnsi="Times New Roman" w:cs="Times New Roman"/>
                <w:sz w:val="21"/>
                <w:szCs w:val="21"/>
              </w:rPr>
            </w:pPr>
          </w:p>
        </w:tc>
        <w:tc>
          <w:tcPr>
            <w:tcW w:w="4105" w:type="dxa"/>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kern w:val="0"/>
                <w:sz w:val="21"/>
                <w:szCs w:val="21"/>
              </w:rPr>
            </w:pPr>
            <w:r>
              <w:rPr>
                <w:rFonts w:hint="default" w:ascii="Times New Roman" w:hAnsi="Times New Roman" w:cs="Times New Roman"/>
                <w:spacing w:val="8"/>
                <w:sz w:val="21"/>
                <w:szCs w:val="21"/>
              </w:rPr>
              <w:t>生产经营单位应当依法从事有毒、有害、易燃、易爆等危险物品的生产、经营、储存活动。禁止生产经营单位安排未成年人从事接触有毒、有害、易燃、易爆等危险物品的劳动以及其他危险性劳动。禁止生产经营单位将有毒、有害、易燃、易爆等危险物品的生产、经营、储存场所设置在居民区、学校、幼儿园、养老院、医院、歌舞厅、影剧院、体育场(馆)、宾馆、饭店、旅游景区(点)、车站、集贸市场及其他人员密集场所(以下统称人员密集场所)的安全距离内。</w:t>
            </w:r>
          </w:p>
        </w:tc>
        <w:tc>
          <w:tcPr>
            <w:tcW w:w="653"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《江西省安全生产管理条例》第三十一条</w:t>
            </w:r>
          </w:p>
        </w:tc>
        <w:tc>
          <w:tcPr>
            <w:tcW w:w="2575" w:type="dxa"/>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kern w:val="0"/>
                <w:sz w:val="21"/>
                <w:szCs w:val="21"/>
              </w:rPr>
            </w:pPr>
            <w:r>
              <w:rPr>
                <w:rFonts w:hint="default" w:ascii="Times New Roman" w:hAnsi="Times New Roman" w:cs="Times New Roman"/>
                <w:spacing w:val="8"/>
                <w:sz w:val="21"/>
                <w:szCs w:val="21"/>
              </w:rPr>
              <w:t>未安排未成年人员工；未设置在上述敏感场所周边。</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99" w:type="dxa"/>
            <w:vAlign w:val="center"/>
          </w:tcPr>
          <w:p>
            <w:pPr>
              <w:numPr>
                <w:ilvl w:val="0"/>
                <w:numId w:val="34"/>
              </w:numPr>
              <w:spacing w:line="240" w:lineRule="auto"/>
              <w:ind w:left="0"/>
              <w:jc w:val="center"/>
              <w:rPr>
                <w:rFonts w:hint="default" w:ascii="Times New Roman" w:hAnsi="Times New Roman" w:cs="Times New Roman"/>
                <w:sz w:val="21"/>
                <w:szCs w:val="21"/>
              </w:rPr>
            </w:pPr>
            <w:r>
              <w:rPr>
                <w:rFonts w:hint="default" w:ascii="Times New Roman" w:hAnsi="Times New Roman" w:cs="Times New Roman"/>
                <w:sz w:val="21"/>
                <w:szCs w:val="21"/>
              </w:rPr>
              <w:t>555</w:t>
            </w:r>
          </w:p>
        </w:tc>
        <w:tc>
          <w:tcPr>
            <w:tcW w:w="4105" w:type="dxa"/>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企业要建立作业许可制度，对动火作业、进入受限空间作业、破土作业、临时用电作业、高处作业、起重作业、抽堵盲板作业、设备检维修作业等危险性作业实施许可管理。</w:t>
            </w:r>
          </w:p>
        </w:tc>
        <w:tc>
          <w:tcPr>
            <w:tcW w:w="653"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1716" w:type="dxa"/>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cs="Times New Roman"/>
                <w:kern w:val="0"/>
                <w:sz w:val="21"/>
                <w:szCs w:val="21"/>
              </w:rPr>
              <w:t>安监总管三〔2010〕186号</w:t>
            </w:r>
          </w:p>
        </w:tc>
        <w:tc>
          <w:tcPr>
            <w:tcW w:w="2575" w:type="dxa"/>
            <w:vAlign w:val="center"/>
          </w:tcPr>
          <w:p>
            <w:pPr>
              <w:keepNext w:val="0"/>
              <w:keepLines w:val="0"/>
              <w:pageBreakBefore w:val="0"/>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有作业许可制度。</w:t>
            </w:r>
          </w:p>
        </w:tc>
      </w:tr>
    </w:tbl>
    <w:p>
      <w:pPr>
        <w:spacing w:line="360" w:lineRule="auto"/>
        <w:ind w:firstLine="560" w:firstLineChars="200"/>
        <w:rPr>
          <w:rFonts w:hint="default" w:ascii="Times New Roman" w:hAnsi="Times New Roman" w:cs="Times New Roman"/>
          <w:kern w:val="24"/>
        </w:rPr>
      </w:pPr>
      <w:r>
        <w:rPr>
          <w:rFonts w:hint="default" w:ascii="Times New Roman" w:hAnsi="Times New Roman" w:eastAsia="黑体" w:cs="Times New Roman"/>
        </w:rPr>
        <w:t>2）</w:t>
      </w:r>
      <w:r>
        <w:rPr>
          <w:rFonts w:hint="default" w:ascii="Times New Roman" w:hAnsi="Times New Roman" w:cs="Times New Roman"/>
          <w:kern w:val="24"/>
        </w:rPr>
        <w:t>评价组根据《化工和危险化学品生产经营单位重大生产安全事故隐患判定标准（试行）》等制定检查表，对该</w:t>
      </w:r>
      <w:r>
        <w:rPr>
          <w:rFonts w:hint="eastAsia" w:cs="Times New Roman"/>
          <w:lang w:val="en-US" w:eastAsia="zh-CN"/>
        </w:rPr>
        <w:t>企业</w:t>
      </w:r>
      <w:r>
        <w:rPr>
          <w:rFonts w:hint="default" w:ascii="Times New Roman" w:hAnsi="Times New Roman" w:cs="Times New Roman"/>
          <w:kern w:val="24"/>
        </w:rPr>
        <w:t>是否存在重大生产安全事故隐患进行评价，评价结果见下表。</w:t>
      </w:r>
    </w:p>
    <w:p>
      <w:pPr>
        <w:pStyle w:val="55"/>
        <w:spacing w:line="240" w:lineRule="auto"/>
        <w:rPr>
          <w:rFonts w:hint="default" w:ascii="Times New Roman" w:hAnsi="Times New Roman" w:cs="Times New Roman"/>
          <w:b w:val="0"/>
          <w:bCs w:val="0"/>
          <w:kern w:val="2"/>
          <w:sz w:val="28"/>
          <w:szCs w:val="28"/>
          <w:lang w:val="en-US"/>
        </w:rPr>
      </w:pPr>
      <w:r>
        <w:rPr>
          <w:rFonts w:hint="default" w:ascii="Times New Roman" w:hAnsi="Times New Roman" w:cs="Times New Roman"/>
          <w:b w:val="0"/>
          <w:bCs w:val="0"/>
          <w:kern w:val="2"/>
          <w:sz w:val="28"/>
          <w:szCs w:val="28"/>
          <w:lang w:val="en-US"/>
        </w:rPr>
        <w:t>附表C.</w:t>
      </w:r>
      <w:r>
        <w:rPr>
          <w:rFonts w:hint="default" w:ascii="Times New Roman" w:hAnsi="Times New Roman" w:cs="Times New Roman"/>
          <w:b w:val="0"/>
          <w:bCs w:val="0"/>
          <w:kern w:val="2"/>
          <w:sz w:val="28"/>
          <w:szCs w:val="28"/>
          <w:lang w:val="en-US" w:eastAsia="zh-CN"/>
        </w:rPr>
        <w:t>5</w:t>
      </w:r>
      <w:r>
        <w:rPr>
          <w:rFonts w:hint="default" w:ascii="Times New Roman" w:hAnsi="Times New Roman" w:cs="Times New Roman"/>
          <w:b w:val="0"/>
          <w:bCs w:val="0"/>
          <w:kern w:val="2"/>
          <w:sz w:val="28"/>
          <w:szCs w:val="28"/>
          <w:lang w:val="en-US"/>
        </w:rPr>
        <w:t>-</w:t>
      </w:r>
      <w:r>
        <w:rPr>
          <w:rFonts w:hint="default" w:ascii="Times New Roman" w:hAnsi="Times New Roman" w:cs="Times New Roman"/>
          <w:b w:val="0"/>
          <w:bCs w:val="0"/>
          <w:kern w:val="2"/>
          <w:sz w:val="28"/>
          <w:szCs w:val="28"/>
          <w:lang w:val="en-US" w:eastAsia="zh-CN"/>
        </w:rPr>
        <w:t>8</w:t>
      </w:r>
      <w:r>
        <w:rPr>
          <w:rFonts w:hint="default" w:ascii="Times New Roman" w:hAnsi="Times New Roman" w:cs="Times New Roman"/>
          <w:b w:val="0"/>
          <w:bCs w:val="0"/>
          <w:kern w:val="2"/>
          <w:sz w:val="28"/>
          <w:szCs w:val="28"/>
          <w:lang w:val="en-US"/>
        </w:rPr>
        <w:t xml:space="preserve"> 重大生产安全事故隐患安全检查表</w:t>
      </w:r>
    </w:p>
    <w:tbl>
      <w:tblPr>
        <w:tblStyle w:val="25"/>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4983"/>
        <w:gridCol w:w="841"/>
        <w:gridCol w:w="2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480" w:type="dxa"/>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4983" w:type="dxa"/>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检查项目和内容</w:t>
            </w:r>
          </w:p>
        </w:tc>
        <w:tc>
          <w:tcPr>
            <w:tcW w:w="841" w:type="dxa"/>
            <w:vAlign w:val="center"/>
          </w:tcPr>
          <w:p>
            <w:pPr>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检查结果</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危险化学品生产、经营单位主要负责人和安全生产管理人员未依法经考核合格。</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rPr>
              <w:t>危险化学品生产和安全生产管理人员依法经考核合格。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特种作业人员未持证上岗。</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rPr>
              <w:t>特种作业人员持证上岗。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涉及“两重点一重大”的生产装置、储存设施外部安全防护距离不符合国家标准要求。</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rPr>
              <w:t>生产装置、储存设施外部安全防护距离符合国家标准要求。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涉及重点监管危险化工工艺的装置未实现自动化控制，系统未实现紧急停车功能，装备的自动化控制系统、紧急停车系统未投入使用。</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不涉及重点监管的危险化工工艺。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480" w:type="dxa"/>
            <w:vAlign w:val="center"/>
          </w:tcPr>
          <w:p>
            <w:pPr>
              <w:numPr>
                <w:ilvl w:val="0"/>
                <w:numId w:val="35"/>
              </w:numPr>
              <w:jc w:val="center"/>
              <w:rPr>
                <w:rFonts w:hint="default" w:ascii="Times New Roman" w:hAnsi="Times New Roman" w:cs="Times New Roman"/>
                <w:sz w:val="21"/>
                <w:szCs w:val="21"/>
              </w:rPr>
            </w:pPr>
            <w:r>
              <w:rPr>
                <w:rFonts w:hint="default" w:ascii="Times New Roman" w:hAnsi="Times New Roman" w:cs="Times New Roman"/>
                <w:sz w:val="21"/>
                <w:szCs w:val="21"/>
              </w:rPr>
              <w:t>D</w:t>
            </w: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构成一级、二级重大危险源的危险化学品罐区未实现紧急切断功能；涉及毒性气体、液化气体、剧毒液体的一级、二级重大危险源的危险化学品罐区未配备独立的安全仪表系统。</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该</w:t>
            </w:r>
            <w:r>
              <w:rPr>
                <w:rFonts w:hint="eastAsia" w:cs="Times New Roman"/>
                <w:sz w:val="21"/>
                <w:szCs w:val="21"/>
                <w:lang w:val="en-US" w:eastAsia="zh-CN"/>
              </w:rPr>
              <w:t>企业</w:t>
            </w:r>
            <w:r>
              <w:rPr>
                <w:rFonts w:hint="default" w:ascii="Times New Roman" w:hAnsi="Times New Roman" w:cs="Times New Roman"/>
                <w:sz w:val="21"/>
                <w:szCs w:val="21"/>
              </w:rPr>
              <w:t>各生产和储存单元均不构成重大危险源。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全压力式液化烃储罐未按国家标准设置注水措施。</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液化烃、液氨、液氯等易燃易爆、有毒有害液化气体的充装未使用万向管道充装系统。</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光气、氯气等剧毒气体及硫化氢气体管道穿越除厂区(包括化工园区、工业园区）外的公共区域。</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氯气管道未穿越公共区域。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地区架空电力线路穿越生产区且不符合国家标准要求。</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无</w:t>
            </w:r>
            <w:r>
              <w:rPr>
                <w:rFonts w:hint="default" w:ascii="Times New Roman" w:hAnsi="Times New Roman" w:cs="Times New Roman"/>
                <w:kern w:val="0"/>
                <w:sz w:val="21"/>
                <w:szCs w:val="21"/>
              </w:rPr>
              <w:t>架空电力线路穿越生产区。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在役化工装置未经正规设计且未进行安全设计诊断。</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rPr>
              <w:t>正规设计。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使用淘汰落后安全技术工艺、设备目录列出的工艺、设备。</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rPr>
              <w:t>未使用淘汰落后安全技术工艺、设备目录列出的工艺、设备。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涉及可燃和有毒有害气体泄漏的场所未按国家标准设置检测报警装置，爆炸危险场所未按国家标准安装使用防爆电气设备。</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涉及有毒有害气体泄漏的场所按国家标准设置检测报警装置；</w:t>
            </w:r>
            <w:r>
              <w:rPr>
                <w:rFonts w:hint="default" w:ascii="Times New Roman" w:hAnsi="Times New Roman" w:cs="Times New Roman"/>
                <w:sz w:val="21"/>
                <w:szCs w:val="21"/>
                <w:lang w:val="en-US" w:eastAsia="zh-CN"/>
              </w:rPr>
              <w:t>不涉及</w:t>
            </w:r>
            <w:r>
              <w:rPr>
                <w:rFonts w:hint="default" w:ascii="Times New Roman" w:hAnsi="Times New Roman" w:cs="Times New Roman"/>
                <w:sz w:val="21"/>
                <w:szCs w:val="21"/>
              </w:rPr>
              <w:t>爆炸危险场所。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控制室或机柜间面向具有火灾、爆炸危险性装置一侧不满足国家标准关于防火防爆的要求。</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控制室未面向具有火灾、爆炸危险性装置一侧。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化工生产装置未按国家标准要求设置双重电源供电，自动化控制系统未设置不间断电源。</w:t>
            </w:r>
          </w:p>
        </w:tc>
        <w:tc>
          <w:tcPr>
            <w:tcW w:w="841"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设置</w:t>
            </w:r>
            <w:r>
              <w:rPr>
                <w:rFonts w:hint="default" w:ascii="Times New Roman" w:hAnsi="Times New Roman" w:cs="Times New Roman"/>
                <w:sz w:val="21"/>
                <w:szCs w:val="21"/>
                <w:lang w:val="en-US" w:eastAsia="zh-CN"/>
              </w:rPr>
              <w:t>了</w:t>
            </w:r>
            <w:r>
              <w:rPr>
                <w:rFonts w:hint="default" w:ascii="Times New Roman" w:hAnsi="Times New Roman" w:cs="Times New Roman"/>
                <w:sz w:val="21"/>
                <w:szCs w:val="21"/>
              </w:rPr>
              <w:t>UPS电源</w:t>
            </w:r>
            <w:r>
              <w:rPr>
                <w:rFonts w:hint="default" w:ascii="Times New Roman" w:hAnsi="Times New Roman" w:cs="Times New Roman"/>
                <w:sz w:val="21"/>
                <w:szCs w:val="21"/>
                <w:lang w:val="en-US" w:eastAsia="zh-CN"/>
              </w:rPr>
              <w:t>和柴油发电机组</w:t>
            </w: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安全阀、爆破片等安全附件未正常投用。</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正常投用。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未建立与岗位相匹配的全员安全生产责任制或者未制定实施生产安全事故隐患排查治理制度。</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rPr>
              <w:t>建立与岗位相匹配的全员安全生产责任制或者制定实施生产安全事故隐患排查治理制度。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未制定操作规程和工艺控制指标。</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rPr>
              <w:t>制定操作规程和工艺控制指标。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未按照国家标准制定动火、进入受限空间等特殊作业管理制度，或者制度未有效执行。</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rPr>
              <w:t>按照国家标准制定动火、进入受限空间等特殊作业管理制度。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80" w:type="dxa"/>
            <w:vAlign w:val="center"/>
          </w:tcPr>
          <w:p>
            <w:pPr>
              <w:numPr>
                <w:ilvl w:val="0"/>
                <w:numId w:val="35"/>
              </w:numPr>
              <w:jc w:val="center"/>
              <w:rPr>
                <w:rFonts w:hint="default" w:ascii="Times New Roman" w:hAnsi="Times New Roman" w:cs="Times New Roman"/>
                <w:sz w:val="21"/>
                <w:szCs w:val="21"/>
              </w:rPr>
            </w:pPr>
          </w:p>
        </w:tc>
        <w:tc>
          <w:tcPr>
            <w:tcW w:w="498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新开发的危险化学品生产工艺未经小试、中试、工业化试验直接进行工业化生产；国内首次使用的化工工艺未经过省级人民政府有关部门组织的安全可靠性论证；新建装置未制定试生产方案投料开车；精细化工企业未按规范性文件要求开展反应安全风险评估。</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该</w:t>
            </w:r>
            <w:r>
              <w:rPr>
                <w:rFonts w:hint="eastAsia" w:cs="Times New Roman"/>
                <w:kern w:val="0"/>
                <w:sz w:val="21"/>
                <w:szCs w:val="21"/>
                <w:lang w:val="en-US" w:eastAsia="zh-CN"/>
              </w:rPr>
              <w:t>企业</w:t>
            </w:r>
            <w:r>
              <w:rPr>
                <w:rFonts w:hint="default" w:ascii="Times New Roman" w:hAnsi="Times New Roman" w:cs="Times New Roman"/>
                <w:kern w:val="0"/>
                <w:sz w:val="21"/>
                <w:szCs w:val="21"/>
              </w:rPr>
              <w:t>未涉及首次工艺</w:t>
            </w:r>
            <w:r>
              <w:rPr>
                <w:rFonts w:hint="eastAsia" w:cs="Times New Roman"/>
                <w:kern w:val="0"/>
                <w:sz w:val="21"/>
                <w:szCs w:val="21"/>
                <w:lang w:eastAsia="zh-CN"/>
              </w:rPr>
              <w:t>，</w:t>
            </w:r>
            <w:r>
              <w:rPr>
                <w:rFonts w:hint="eastAsia" w:cs="Times New Roman"/>
                <w:kern w:val="0"/>
                <w:sz w:val="21"/>
                <w:szCs w:val="21"/>
                <w:lang w:val="en-US" w:eastAsia="zh-CN"/>
              </w:rPr>
              <w:t>不属于精细化工企业</w:t>
            </w:r>
            <w:r>
              <w:rPr>
                <w:rFonts w:hint="default" w:ascii="Times New Roman" w:hAnsi="Times New Roman"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80" w:type="dxa"/>
            <w:vAlign w:val="center"/>
          </w:tcPr>
          <w:p>
            <w:pPr>
              <w:numPr>
                <w:ilvl w:val="0"/>
                <w:numId w:val="35"/>
              </w:numPr>
              <w:jc w:val="center"/>
              <w:rPr>
                <w:rFonts w:hint="default" w:ascii="Times New Roman" w:hAnsi="Times New Roman" w:cs="Times New Roman"/>
                <w:kern w:val="0"/>
                <w:sz w:val="21"/>
                <w:szCs w:val="21"/>
              </w:rPr>
            </w:pPr>
          </w:p>
        </w:tc>
        <w:tc>
          <w:tcPr>
            <w:tcW w:w="4983" w:type="dxa"/>
            <w:vAlign w:val="center"/>
          </w:tcPr>
          <w:p>
            <w:pPr>
              <w:spacing w:line="240" w:lineRule="auto"/>
              <w:rPr>
                <w:rFonts w:hint="default" w:ascii="Times New Roman" w:hAnsi="Times New Roman" w:cs="Times New Roman"/>
                <w:kern w:val="0"/>
                <w:sz w:val="21"/>
                <w:szCs w:val="21"/>
              </w:rPr>
            </w:pPr>
            <w:r>
              <w:rPr>
                <w:rFonts w:hint="default" w:ascii="Times New Roman" w:hAnsi="Times New Roman" w:cs="Times New Roman"/>
                <w:kern w:val="0"/>
                <w:sz w:val="21"/>
                <w:szCs w:val="21"/>
              </w:rPr>
              <w:t>未按国家标准分区分类储存危险化学品，超量、超品种储存危险化学品，相互禁配物质混放混存。</w:t>
            </w:r>
          </w:p>
        </w:tc>
        <w:tc>
          <w:tcPr>
            <w:tcW w:w="84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c>
          <w:tcPr>
            <w:tcW w:w="2983" w:type="dxa"/>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rPr>
              <w:t>不涉及超量、超品种储存危险化学品。</w:t>
            </w:r>
          </w:p>
        </w:tc>
      </w:tr>
    </w:tbl>
    <w:p>
      <w:pPr>
        <w:ind w:firstLine="560" w:firstLineChars="200"/>
        <w:rPr>
          <w:rFonts w:hint="default" w:ascii="Times New Roman" w:hAnsi="Times New Roman" w:cs="Times New Roman"/>
        </w:rPr>
      </w:pPr>
      <w:r>
        <w:rPr>
          <w:rFonts w:hint="default" w:ascii="Times New Roman" w:hAnsi="Times New Roman" w:cs="Times New Roman"/>
        </w:rPr>
        <w:t>3）根据《应急管理部关于印发危险化学品生产储存企业安全风险评估诊断分级指南（试行）的通知》要求等制定检查表，详见表B.7-1。</w:t>
      </w:r>
    </w:p>
    <w:p>
      <w:pPr>
        <w:ind w:firstLine="560" w:firstLineChars="200"/>
        <w:rPr>
          <w:rFonts w:hint="default" w:ascii="Times New Roman" w:hAnsi="Times New Roman" w:cs="Times New Roman"/>
        </w:rPr>
      </w:pPr>
      <w:r>
        <w:rPr>
          <w:rFonts w:hint="default" w:ascii="Times New Roman" w:hAnsi="Times New Roman" w:cs="Times New Roman"/>
        </w:rPr>
        <w:t>根据安全风险评估诊断，</w:t>
      </w:r>
      <w:r>
        <w:rPr>
          <w:rFonts w:hint="default" w:ascii="Times New Roman" w:hAnsi="Times New Roman" w:cs="Times New Roman"/>
          <w:lang w:eastAsia="zh-CN"/>
        </w:rPr>
        <w:t>上饶市广氟医药化工有限公司</w:t>
      </w:r>
      <w:r>
        <w:rPr>
          <w:rFonts w:hint="default" w:ascii="Times New Roman" w:hAnsi="Times New Roman" w:cs="Times New Roman"/>
        </w:rPr>
        <w:t>在役生产装置的分数为</w:t>
      </w:r>
      <w:r>
        <w:rPr>
          <w:rFonts w:hint="eastAsia" w:cs="Times New Roman"/>
          <w:lang w:eastAsia="zh-CN"/>
        </w:rPr>
        <w:t>86.9分</w:t>
      </w:r>
      <w:r>
        <w:rPr>
          <w:rFonts w:hint="default" w:ascii="Times New Roman" w:hAnsi="Times New Roman" w:cs="Times New Roman"/>
        </w:rPr>
        <w:t>，安全风险为III级（黄色）</w:t>
      </w:r>
    </w:p>
    <w:p>
      <w:pPr>
        <w:ind w:firstLine="560" w:firstLineChars="200"/>
        <w:rPr>
          <w:rFonts w:hint="default" w:ascii="Times New Roman" w:hAnsi="Times New Roman" w:cs="Times New Roman"/>
        </w:rPr>
      </w:pPr>
      <w:r>
        <w:rPr>
          <w:rFonts w:hint="default" w:ascii="Times New Roman" w:hAnsi="Times New Roman" w:cs="Times New Roman"/>
        </w:rPr>
        <w:t>2.单元评价小结</w:t>
      </w:r>
    </w:p>
    <w:p>
      <w:pPr>
        <w:ind w:firstLine="560" w:firstLineChars="200"/>
        <w:rPr>
          <w:rFonts w:hint="default" w:ascii="Times New Roman" w:hAnsi="Times New Roman" w:cs="Times New Roman"/>
        </w:rPr>
      </w:pPr>
      <w:r>
        <w:rPr>
          <w:rFonts w:hint="default" w:ascii="Times New Roman" w:hAnsi="Times New Roman" w:cs="Times New Roman"/>
        </w:rPr>
        <w:t>评价组根据</w:t>
      </w:r>
      <w:r>
        <w:rPr>
          <w:rFonts w:hint="default" w:ascii="Times New Roman" w:hAnsi="Times New Roman" w:cs="Times New Roman"/>
          <w:lang w:eastAsia="zh-CN"/>
        </w:rPr>
        <w:t>上饶市广氟医药化工有限公司</w:t>
      </w:r>
      <w:r>
        <w:rPr>
          <w:rFonts w:hint="default" w:ascii="Times New Roman" w:hAnsi="Times New Roman" w:cs="Times New Roman"/>
        </w:rPr>
        <w:t>所提供的资料和现场检查情况，</w:t>
      </w:r>
      <w:r>
        <w:rPr>
          <w:rFonts w:hint="eastAsia" w:cs="Times New Roman"/>
          <w:lang w:eastAsia="zh-CN"/>
        </w:rPr>
        <w:t>对该企业的安全管理单元进行了评价</w:t>
      </w:r>
      <w:r>
        <w:rPr>
          <w:rFonts w:hint="default" w:ascii="Times New Roman" w:hAnsi="Times New Roman" w:cs="Times New Roman"/>
        </w:rPr>
        <w:t>，小结如下：</w:t>
      </w:r>
    </w:p>
    <w:p>
      <w:pPr>
        <w:ind w:firstLine="560" w:firstLineChars="200"/>
        <w:rPr>
          <w:rFonts w:hint="default" w:ascii="Times New Roman" w:hAnsi="Times New Roman" w:cs="Times New Roman"/>
        </w:rPr>
      </w:pPr>
      <w:r>
        <w:rPr>
          <w:rFonts w:hint="default" w:ascii="Times New Roman" w:hAnsi="Times New Roman" w:cs="Times New Roman"/>
        </w:rPr>
        <w:t>1）该公司对从业人员进行了安全生产教育和培训，并经考核，合格方准许上岗，能够熟练掌握本专业及本岗位的生产技能。</w:t>
      </w:r>
    </w:p>
    <w:p>
      <w:pPr>
        <w:ind w:firstLine="560" w:firstLineChars="200"/>
        <w:rPr>
          <w:rFonts w:hint="default" w:ascii="Times New Roman" w:hAnsi="Times New Roman" w:cs="Times New Roman"/>
        </w:rPr>
      </w:pPr>
      <w:r>
        <w:rPr>
          <w:rFonts w:hint="default" w:ascii="Times New Roman" w:hAnsi="Times New Roman" w:cs="Times New Roman"/>
        </w:rPr>
        <w:t>2）该公司按照国家规定提取与安全生产有关的费用，并保证安全生产所必须的资金投入。</w:t>
      </w:r>
    </w:p>
    <w:p>
      <w:pPr>
        <w:ind w:firstLine="560" w:firstLineChars="200"/>
        <w:rPr>
          <w:rFonts w:hint="default" w:ascii="Times New Roman" w:hAnsi="Times New Roman" w:cs="Times New Roman"/>
        </w:rPr>
      </w:pPr>
      <w:r>
        <w:rPr>
          <w:rFonts w:hint="default" w:ascii="Times New Roman" w:hAnsi="Times New Roman" w:cs="Times New Roman"/>
        </w:rPr>
        <w:t>3）该公司向从业人员告知作业场所和工作岗位存在的危险因素、防范措施以及事故应急措施，并开展教育培训工作。</w:t>
      </w:r>
    </w:p>
    <w:p>
      <w:pPr>
        <w:ind w:firstLine="560" w:firstLineChars="200"/>
        <w:rPr>
          <w:rFonts w:hint="default" w:ascii="Times New Roman" w:hAnsi="Times New Roman" w:cs="Times New Roman"/>
        </w:rPr>
      </w:pPr>
      <w:r>
        <w:rPr>
          <w:rFonts w:hint="default" w:ascii="Times New Roman" w:hAnsi="Times New Roman" w:cs="Times New Roman"/>
        </w:rPr>
        <w:t>4）该公司依法设置</w:t>
      </w:r>
      <w:r>
        <w:rPr>
          <w:rFonts w:hint="default" w:ascii="Times New Roman" w:hAnsi="Times New Roman" w:cs="Times New Roman"/>
        </w:rPr>
        <w:fldChar w:fldCharType="begin"/>
      </w:r>
      <w:r>
        <w:rPr>
          <w:rFonts w:hint="default" w:ascii="Times New Roman" w:hAnsi="Times New Roman" w:cs="Times New Roman"/>
        </w:rPr>
        <w:instrText xml:space="preserve"> HYPERLINK "http://baike.baidu.com/view/3111097.htm" \t "_blank" </w:instrText>
      </w:r>
      <w:r>
        <w:rPr>
          <w:rFonts w:hint="default" w:ascii="Times New Roman" w:hAnsi="Times New Roman" w:cs="Times New Roman"/>
        </w:rPr>
        <w:fldChar w:fldCharType="separate"/>
      </w:r>
      <w:r>
        <w:rPr>
          <w:rStyle w:val="33"/>
          <w:rFonts w:hint="default" w:ascii="Times New Roman" w:hAnsi="Times New Roman" w:cs="Times New Roman"/>
          <w:color w:val="auto"/>
          <w:spacing w:val="8"/>
          <w:u w:val="none"/>
        </w:rPr>
        <w:t>安全生产管理</w:t>
      </w:r>
      <w:r>
        <w:rPr>
          <w:rStyle w:val="33"/>
          <w:rFonts w:hint="default" w:ascii="Times New Roman" w:hAnsi="Times New Roman" w:cs="Times New Roman"/>
          <w:color w:val="auto"/>
          <w:spacing w:val="8"/>
          <w:u w:val="none"/>
        </w:rPr>
        <w:fldChar w:fldCharType="end"/>
      </w:r>
      <w:r>
        <w:rPr>
          <w:rFonts w:hint="default" w:ascii="Times New Roman" w:hAnsi="Times New Roman" w:cs="Times New Roman"/>
        </w:rPr>
        <w:t>机构，配备专职安全生产管理人员。企业主要负责人、分管安全负责人和安全生产管理人员依法参加安全生产培训，并取证。</w:t>
      </w:r>
    </w:p>
    <w:p>
      <w:pPr>
        <w:ind w:firstLine="560" w:firstLineChars="200"/>
        <w:rPr>
          <w:rFonts w:hint="default" w:ascii="Times New Roman" w:hAnsi="Times New Roman" w:cs="Times New Roman"/>
        </w:rPr>
      </w:pPr>
      <w:r>
        <w:rPr>
          <w:rFonts w:hint="default" w:ascii="Times New Roman" w:hAnsi="Times New Roman" w:cs="Times New Roman"/>
        </w:rPr>
        <w:t>5）该公司依法参加工伤社会保险，为从业人员缴纳保险费。</w:t>
      </w:r>
    </w:p>
    <w:p>
      <w:pPr>
        <w:ind w:firstLine="560" w:firstLineChars="200"/>
        <w:rPr>
          <w:rFonts w:hint="default" w:ascii="Times New Roman" w:hAnsi="Times New Roman" w:cs="Times New Roman"/>
        </w:rPr>
      </w:pPr>
      <w:r>
        <w:rPr>
          <w:rFonts w:hint="default" w:ascii="Times New Roman" w:hAnsi="Times New Roman" w:cs="Times New Roman"/>
        </w:rPr>
        <w:t>6）</w:t>
      </w:r>
      <w:r>
        <w:rPr>
          <w:rFonts w:hint="eastAsia" w:cs="Times New Roman"/>
          <w:lang w:eastAsia="zh-CN"/>
        </w:rPr>
        <w:t>该企业不存在重大生产安全事故隐患</w:t>
      </w:r>
      <w:r>
        <w:rPr>
          <w:rFonts w:hint="default" w:ascii="Times New Roman" w:hAnsi="Times New Roman" w:cs="Times New Roman"/>
        </w:rPr>
        <w:t>。</w:t>
      </w:r>
    </w:p>
    <w:p>
      <w:pPr>
        <w:ind w:firstLine="560" w:firstLineChars="200"/>
        <w:rPr>
          <w:rFonts w:hint="default" w:ascii="Times New Roman" w:hAnsi="Times New Roman" w:cs="Times New Roman"/>
        </w:rPr>
      </w:pPr>
      <w:r>
        <w:rPr>
          <w:rFonts w:hint="default" w:ascii="Times New Roman" w:hAnsi="Times New Roman" w:cs="Times New Roman"/>
        </w:rPr>
        <w:t>7）对本单元进行7</w:t>
      </w:r>
      <w:r>
        <w:rPr>
          <w:rFonts w:hint="default" w:ascii="Times New Roman" w:hAnsi="Times New Roman" w:cs="Times New Roman"/>
          <w:lang w:val="en-US" w:eastAsia="zh-CN"/>
        </w:rPr>
        <w:t>5</w:t>
      </w:r>
      <w:r>
        <w:rPr>
          <w:rFonts w:hint="default" w:ascii="Times New Roman" w:hAnsi="Times New Roman" w:cs="Times New Roman"/>
        </w:rPr>
        <w:t>项检查，</w:t>
      </w:r>
      <w:r>
        <w:rPr>
          <w:rFonts w:hint="default" w:ascii="Times New Roman" w:hAnsi="Times New Roman" w:cs="Times New Roman"/>
          <w:lang w:val="en-US" w:eastAsia="zh-CN"/>
        </w:rPr>
        <w:t>存在2项不符合项：①未配备注册安全工程师；②岗位操作规程不完善</w:t>
      </w:r>
      <w:r>
        <w:rPr>
          <w:rFonts w:hint="default" w:ascii="Times New Roman" w:hAnsi="Times New Roman" w:cs="Times New Roman"/>
        </w:rPr>
        <w:t>。</w:t>
      </w:r>
    </w:p>
    <w:p>
      <w:pPr>
        <w:pStyle w:val="3"/>
        <w:rPr>
          <w:rFonts w:hint="default" w:ascii="Times New Roman" w:hAnsi="Times New Roman" w:cs="Times New Roman"/>
        </w:rPr>
      </w:pPr>
      <w:r>
        <w:rPr>
          <w:rFonts w:hint="default" w:ascii="Times New Roman" w:hAnsi="Times New Roman" w:cs="Times New Roman"/>
        </w:rPr>
        <w:br w:type="page"/>
      </w:r>
      <w:bookmarkStart w:id="161" w:name="_Toc28013"/>
      <w:r>
        <w:rPr>
          <w:rFonts w:hint="default" w:ascii="Times New Roman" w:hAnsi="Times New Roman" w:cs="Times New Roman"/>
        </w:rPr>
        <w:t>附件D重大事故后果预测及多米诺效应</w:t>
      </w:r>
      <w:bookmarkEnd w:id="161"/>
    </w:p>
    <w:p>
      <w:pPr>
        <w:spacing w:line="360" w:lineRule="auto"/>
        <w:ind w:firstLine="562" w:firstLineChars="200"/>
        <w:jc w:val="left"/>
        <w:rPr>
          <w:rFonts w:hint="default" w:ascii="Times New Roman" w:hAnsi="Times New Roman" w:cs="Times New Roman"/>
          <w:b/>
          <w:bCs/>
        </w:rPr>
      </w:pPr>
      <w:r>
        <w:rPr>
          <w:rFonts w:hint="default" w:ascii="Times New Roman" w:hAnsi="Times New Roman" w:cs="Times New Roman"/>
          <w:b/>
          <w:bCs/>
        </w:rPr>
        <w:t>1、重大事故后果预测</w:t>
      </w:r>
    </w:p>
    <w:p>
      <w:pPr>
        <w:spacing w:line="360" w:lineRule="auto"/>
        <w:ind w:firstLine="560" w:firstLineChars="200"/>
        <w:rPr>
          <w:rFonts w:hint="default" w:ascii="Times New Roman" w:hAnsi="Times New Roman" w:cs="Times New Roman"/>
          <w:lang w:val="zh-CN"/>
        </w:rPr>
      </w:pPr>
      <w:r>
        <w:rPr>
          <w:rFonts w:hint="default" w:ascii="Times New Roman" w:hAnsi="Times New Roman" w:cs="Times New Roman"/>
          <w:lang w:val="zh-CN"/>
        </w:rPr>
        <w:t>根据</w:t>
      </w:r>
      <w:r>
        <w:rPr>
          <w:rFonts w:hint="default" w:ascii="Times New Roman" w:hAnsi="Times New Roman" w:cs="Times New Roman"/>
        </w:rPr>
        <w:t>《危险化学品生产装置及储存设施外部安全防护距离确定方法》（GB/T37243-2019）</w:t>
      </w:r>
      <w:r>
        <w:rPr>
          <w:rFonts w:hint="default" w:ascii="Times New Roman" w:hAnsi="Times New Roman" w:cs="Times New Roman"/>
          <w:lang w:val="zh-CN"/>
        </w:rPr>
        <w:t>，采用定量风险计算软件计算该企业的重大事故后果。</w:t>
      </w:r>
    </w:p>
    <w:p>
      <w:pPr>
        <w:spacing w:line="240" w:lineRule="auto"/>
        <w:jc w:val="center"/>
        <w:rPr>
          <w:rFonts w:hint="default" w:ascii="Times New Roman" w:hAnsi="Times New Roman" w:cs="Times New Roman"/>
          <w:sz w:val="24"/>
          <w:szCs w:val="24"/>
          <w:lang w:val="zh-CN"/>
        </w:rPr>
      </w:pPr>
      <w:r>
        <w:rPr>
          <w:rFonts w:hint="default" w:ascii="Times New Roman" w:hAnsi="Times New Roman" w:cs="Times New Roman"/>
          <w:sz w:val="24"/>
          <w:szCs w:val="24"/>
          <w:lang w:val="zh-CN"/>
        </w:rPr>
        <w:t>附表</w:t>
      </w:r>
      <w:r>
        <w:rPr>
          <w:rFonts w:hint="default" w:ascii="Times New Roman" w:hAnsi="Times New Roman" w:cs="Times New Roman"/>
          <w:sz w:val="24"/>
          <w:szCs w:val="24"/>
        </w:rPr>
        <w:t>D</w:t>
      </w:r>
      <w:r>
        <w:rPr>
          <w:rFonts w:hint="default" w:ascii="Times New Roman" w:hAnsi="Times New Roman" w:cs="Times New Roman"/>
          <w:sz w:val="24"/>
          <w:szCs w:val="24"/>
          <w:lang w:val="zh-CN"/>
        </w:rPr>
        <w:t>-</w:t>
      </w:r>
      <w:r>
        <w:rPr>
          <w:rFonts w:hint="default" w:ascii="Times New Roman" w:hAnsi="Times New Roman" w:cs="Times New Roman"/>
          <w:sz w:val="24"/>
          <w:szCs w:val="24"/>
        </w:rPr>
        <w:t>1</w:t>
      </w:r>
      <w:r>
        <w:rPr>
          <w:rFonts w:hint="default" w:ascii="Times New Roman" w:hAnsi="Times New Roman" w:cs="Times New Roman"/>
          <w:sz w:val="24"/>
          <w:szCs w:val="24"/>
          <w:lang w:val="zh-CN"/>
        </w:rPr>
        <w:t xml:space="preserve"> 事故后果一览表</w:t>
      </w:r>
    </w:p>
    <w:tbl>
      <w:tblPr>
        <w:tblStyle w:val="25"/>
        <w:tblW w:w="50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1"/>
        <w:gridCol w:w="1480"/>
        <w:gridCol w:w="991"/>
        <w:gridCol w:w="1345"/>
        <w:gridCol w:w="1345"/>
        <w:gridCol w:w="1345"/>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危险源</w:t>
            </w:r>
          </w:p>
        </w:tc>
        <w:tc>
          <w:tcPr>
            <w:tcW w:w="0" w:type="auto"/>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泄漏模式</w:t>
            </w:r>
          </w:p>
        </w:tc>
        <w:tc>
          <w:tcPr>
            <w:tcW w:w="0" w:type="auto"/>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灾害模式</w:t>
            </w:r>
          </w:p>
        </w:tc>
        <w:tc>
          <w:tcPr>
            <w:tcW w:w="0" w:type="auto"/>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死亡半径(m)</w:t>
            </w:r>
          </w:p>
        </w:tc>
        <w:tc>
          <w:tcPr>
            <w:tcW w:w="0" w:type="auto"/>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重伤半径(</w:t>
            </w:r>
            <w:r>
              <w:rPr>
                <w:rFonts w:hint="default" w:ascii="Times New Roman" w:hAnsi="Times New Roman" w:cs="Times New Roman"/>
                <w:color w:val="000000"/>
                <w:sz w:val="21"/>
                <w:szCs w:val="21"/>
              </w:rPr>
              <w:t>m)</w:t>
            </w:r>
          </w:p>
        </w:tc>
        <w:tc>
          <w:tcPr>
            <w:tcW w:w="0" w:type="auto"/>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轻伤半径(</w:t>
            </w:r>
            <w:r>
              <w:rPr>
                <w:rFonts w:hint="default" w:ascii="Times New Roman" w:hAnsi="Times New Roman" w:cs="Times New Roman"/>
                <w:color w:val="000000"/>
                <w:sz w:val="21"/>
                <w:szCs w:val="21"/>
              </w:rPr>
              <w:t>m)</w:t>
            </w:r>
          </w:p>
        </w:tc>
        <w:tc>
          <w:tcPr>
            <w:tcW w:w="0" w:type="auto"/>
            <w:tcBorders>
              <w:tl2br w:val="nil"/>
              <w:tr2bl w:val="nil"/>
            </w:tcBorders>
            <w:shd w:val="clear" w:color="auto" w:fill="auto"/>
            <w:vAlign w:val="center"/>
          </w:tcPr>
          <w:p>
            <w:pPr>
              <w:widowControl/>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多米诺半径(m)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l2br w:val="nil"/>
              <w:tr2bl w:val="nil"/>
            </w:tcBorders>
            <w:shd w:val="clear" w:color="auto" w:fill="auto"/>
            <w:noWrap/>
            <w:vAlign w:val="center"/>
          </w:tcPr>
          <w:p>
            <w:pPr>
              <w:widowControl/>
              <w:spacing w:line="240" w:lineRule="auto"/>
              <w:jc w:val="left"/>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空气储罐</w:t>
            </w:r>
          </w:p>
        </w:tc>
        <w:tc>
          <w:tcPr>
            <w:tcW w:w="0" w:type="auto"/>
            <w:tcBorders>
              <w:tl2br w:val="nil"/>
              <w:tr2bl w:val="nil"/>
            </w:tcBorders>
            <w:shd w:val="clear" w:color="auto" w:fill="auto"/>
            <w:noWrap/>
            <w:vAlign w:val="center"/>
          </w:tcPr>
          <w:p>
            <w:pPr>
              <w:widowControl/>
              <w:spacing w:line="240" w:lineRule="auto"/>
              <w:jc w:val="left"/>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容器物理爆炸</w:t>
            </w:r>
          </w:p>
        </w:tc>
        <w:tc>
          <w:tcPr>
            <w:tcW w:w="0" w:type="auto"/>
            <w:tcBorders>
              <w:tl2br w:val="nil"/>
              <w:tr2bl w:val="nil"/>
            </w:tcBorders>
            <w:shd w:val="clear" w:color="auto" w:fill="auto"/>
            <w:noWrap/>
            <w:vAlign w:val="center"/>
          </w:tcPr>
          <w:p>
            <w:pPr>
              <w:widowControl/>
              <w:spacing w:line="240" w:lineRule="auto"/>
              <w:jc w:val="left"/>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物理爆炸</w:t>
            </w:r>
          </w:p>
        </w:tc>
        <w:tc>
          <w:tcPr>
            <w:tcW w:w="0" w:type="auto"/>
            <w:tcBorders>
              <w:tl2br w:val="nil"/>
              <w:tr2bl w:val="nil"/>
            </w:tcBorders>
            <w:shd w:val="clear" w:color="auto" w:fill="auto"/>
            <w:noWrap/>
            <w:vAlign w:val="center"/>
          </w:tcPr>
          <w:p>
            <w:pPr>
              <w:widowControl/>
              <w:spacing w:line="240" w:lineRule="auto"/>
              <w:jc w:val="left"/>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1</w:t>
            </w:r>
          </w:p>
        </w:tc>
        <w:tc>
          <w:tcPr>
            <w:tcW w:w="0" w:type="auto"/>
            <w:tcBorders>
              <w:tl2br w:val="nil"/>
              <w:tr2bl w:val="nil"/>
            </w:tcBorders>
            <w:shd w:val="clear" w:color="auto" w:fill="auto"/>
            <w:noWrap/>
            <w:vAlign w:val="center"/>
          </w:tcPr>
          <w:p>
            <w:pPr>
              <w:widowControl/>
              <w:spacing w:line="240" w:lineRule="auto"/>
              <w:jc w:val="left"/>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2</w:t>
            </w:r>
          </w:p>
        </w:tc>
        <w:tc>
          <w:tcPr>
            <w:tcW w:w="0" w:type="auto"/>
            <w:tcBorders>
              <w:tl2br w:val="nil"/>
              <w:tr2bl w:val="nil"/>
            </w:tcBorders>
            <w:shd w:val="clear" w:color="auto" w:fill="auto"/>
            <w:noWrap/>
            <w:vAlign w:val="center"/>
          </w:tcPr>
          <w:p>
            <w:pPr>
              <w:widowControl/>
              <w:spacing w:line="240" w:lineRule="auto"/>
              <w:jc w:val="left"/>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3</w:t>
            </w:r>
          </w:p>
        </w:tc>
        <w:tc>
          <w:tcPr>
            <w:tcW w:w="0" w:type="auto"/>
            <w:tcBorders>
              <w:tl2br w:val="nil"/>
              <w:tr2bl w:val="nil"/>
            </w:tcBorders>
            <w:shd w:val="clear" w:color="auto" w:fill="auto"/>
            <w:noWrap/>
            <w:vAlign w:val="center"/>
          </w:tcPr>
          <w:p>
            <w:pPr>
              <w:widowControl/>
              <w:spacing w:line="240" w:lineRule="auto"/>
              <w:jc w:val="left"/>
              <w:textAlignment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kern w:val="0"/>
                <w:sz w:val="21"/>
                <w:szCs w:val="21"/>
                <w:lang w:val="en-US" w:eastAsia="zh-CN"/>
              </w:rPr>
              <w:t>2</w:t>
            </w:r>
          </w:p>
        </w:tc>
      </w:tr>
    </w:tbl>
    <w:p>
      <w:pPr>
        <w:spacing w:line="360" w:lineRule="auto"/>
        <w:ind w:firstLine="562" w:firstLineChars="200"/>
        <w:jc w:val="left"/>
        <w:rPr>
          <w:rFonts w:hint="default" w:ascii="Times New Roman" w:hAnsi="Times New Roman" w:cs="Times New Roman"/>
          <w:b/>
          <w:bCs/>
        </w:rPr>
      </w:pPr>
      <w:r>
        <w:rPr>
          <w:rFonts w:hint="default" w:ascii="Times New Roman" w:hAnsi="Times New Roman" w:cs="Times New Roman"/>
          <w:b/>
          <w:bCs/>
        </w:rPr>
        <w:t>2、多米诺效应分析</w:t>
      </w:r>
    </w:p>
    <w:p>
      <w:pPr>
        <w:spacing w:line="360" w:lineRule="auto"/>
        <w:ind w:firstLine="560" w:firstLineChars="200"/>
        <w:jc w:val="left"/>
        <w:rPr>
          <w:rFonts w:hint="default" w:ascii="Times New Roman" w:hAnsi="Times New Roman" w:cs="Times New Roman"/>
        </w:rPr>
      </w:pPr>
      <w:r>
        <w:rPr>
          <w:rFonts w:hint="default" w:ascii="Times New Roman" w:hAnsi="Times New Roman" w:cs="Times New Roman"/>
        </w:rPr>
        <w:t>依据附表D-1事故后果模拟一览表，该</w:t>
      </w:r>
      <w:r>
        <w:rPr>
          <w:rFonts w:hint="eastAsia" w:cs="Times New Roman"/>
          <w:lang w:val="en-US" w:eastAsia="zh-CN"/>
        </w:rPr>
        <w:t>企业</w:t>
      </w:r>
      <w:r>
        <w:rPr>
          <w:rFonts w:hint="default" w:ascii="Times New Roman" w:hAnsi="Times New Roman" w:cs="Times New Roman"/>
          <w:lang w:val="en-US" w:eastAsia="zh-CN"/>
        </w:rPr>
        <w:t>空气储罐</w:t>
      </w:r>
      <w:r>
        <w:rPr>
          <w:rFonts w:hint="default" w:ascii="Times New Roman" w:hAnsi="Times New Roman" w:cs="Times New Roman"/>
        </w:rPr>
        <w:t>物理爆炸将会产生多米诺效应，多米诺区域以</w:t>
      </w:r>
      <w:r>
        <w:rPr>
          <w:rFonts w:hint="default" w:ascii="Times New Roman" w:hAnsi="Times New Roman" w:cs="Times New Roman"/>
          <w:lang w:val="en-US" w:eastAsia="zh-CN"/>
        </w:rPr>
        <w:t>空气储罐</w:t>
      </w:r>
      <w:r>
        <w:rPr>
          <w:rFonts w:hint="default" w:ascii="Times New Roman" w:hAnsi="Times New Roman" w:cs="Times New Roman"/>
        </w:rPr>
        <w:t>为中心半径</w:t>
      </w:r>
      <w:r>
        <w:rPr>
          <w:rFonts w:hint="default" w:ascii="Times New Roman" w:hAnsi="Times New Roman" w:cs="Times New Roman"/>
          <w:lang w:val="en-US" w:eastAsia="zh-CN"/>
        </w:rPr>
        <w:t>2</w:t>
      </w:r>
      <w:r>
        <w:rPr>
          <w:rFonts w:hint="default" w:ascii="Times New Roman" w:hAnsi="Times New Roman" w:cs="Times New Roman"/>
        </w:rPr>
        <w:t>m范围，未超出厂界，企业应加强对</w:t>
      </w:r>
      <w:r>
        <w:rPr>
          <w:rFonts w:hint="default" w:ascii="Times New Roman" w:hAnsi="Times New Roman" w:cs="Times New Roman"/>
          <w:lang w:val="en-US" w:eastAsia="zh-CN"/>
        </w:rPr>
        <w:t>空气储罐</w:t>
      </w:r>
      <w:r>
        <w:rPr>
          <w:rFonts w:hint="default" w:ascii="Times New Roman" w:hAnsi="Times New Roman" w:cs="Times New Roman"/>
        </w:rPr>
        <w:t>的管理。</w:t>
      </w:r>
    </w:p>
    <w:p>
      <w:pPr>
        <w:pStyle w:val="3"/>
        <w:rPr>
          <w:rFonts w:hint="default" w:ascii="Times New Roman" w:hAnsi="Times New Roman" w:cs="Times New Roman"/>
        </w:rPr>
      </w:pPr>
      <w:r>
        <w:rPr>
          <w:rFonts w:hint="default" w:ascii="Times New Roman" w:hAnsi="Times New Roman" w:cs="Times New Roman"/>
        </w:rPr>
        <w:br w:type="page"/>
      </w:r>
      <w:bookmarkStart w:id="162" w:name="_Toc31348"/>
      <w:r>
        <w:rPr>
          <w:rFonts w:hint="default" w:ascii="Times New Roman" w:hAnsi="Times New Roman" w:cs="Times New Roman"/>
        </w:rPr>
        <w:t>附件E安全评价方法的确定说明和安全评价方法简介</w:t>
      </w:r>
      <w:bookmarkEnd w:id="162"/>
    </w:p>
    <w:p>
      <w:pPr>
        <w:pStyle w:val="4"/>
        <w:rPr>
          <w:rFonts w:hint="default" w:ascii="Times New Roman" w:hAnsi="Times New Roman" w:cs="Times New Roman"/>
        </w:rPr>
      </w:pPr>
      <w:bookmarkStart w:id="163" w:name="_Toc203"/>
      <w:r>
        <w:rPr>
          <w:rFonts w:hint="default" w:ascii="Times New Roman" w:hAnsi="Times New Roman" w:cs="Times New Roman"/>
        </w:rPr>
        <w:t>E.1评价单元划分依据</w:t>
      </w:r>
      <w:bookmarkEnd w:id="163"/>
    </w:p>
    <w:p>
      <w:pPr>
        <w:ind w:firstLine="560" w:firstLineChars="200"/>
        <w:rPr>
          <w:rFonts w:hint="default" w:ascii="Times New Roman" w:hAnsi="Times New Roman" w:cs="Times New Roman"/>
        </w:rPr>
      </w:pPr>
      <w:r>
        <w:rPr>
          <w:rFonts w:hint="default" w:ascii="Times New Roman" w:hAnsi="Times New Roman" w:cs="Times New Roman"/>
        </w:rPr>
        <w:t>划分评价单元是为评价目标和评价方法服务的，便于评价工作的进行，有利于提高评价工作的准确性。评价单元一般以生产工艺、工艺装置、物料的特点和特征，有机结合危险、有害因素的类别、分布进行划分，还可以按评价的需要，将一个评价单元再划分为若干子评价单元或更细致的单元。</w:t>
      </w:r>
    </w:p>
    <w:p>
      <w:pPr>
        <w:ind w:firstLine="560" w:firstLineChars="200"/>
        <w:rPr>
          <w:rFonts w:hint="default" w:ascii="Times New Roman" w:hAnsi="Times New Roman" w:cs="Times New Roman"/>
        </w:rPr>
      </w:pPr>
      <w:r>
        <w:rPr>
          <w:rFonts w:hint="default" w:ascii="Times New Roman" w:hAnsi="Times New Roman" w:cs="Times New Roman"/>
        </w:rPr>
        <w:t>评价单元划分原则和方法为：</w:t>
      </w:r>
    </w:p>
    <w:p>
      <w:pPr>
        <w:ind w:firstLine="560" w:firstLineChars="200"/>
        <w:rPr>
          <w:rFonts w:hint="default" w:ascii="Times New Roman" w:hAnsi="Times New Roman" w:cs="Times New Roman"/>
        </w:rPr>
      </w:pPr>
      <w:r>
        <w:rPr>
          <w:rFonts w:hint="default" w:ascii="Times New Roman" w:hAnsi="Times New Roman" w:cs="Times New Roman"/>
        </w:rPr>
        <w:t>1.以危险、有害因素的类别为主划分</w:t>
      </w:r>
    </w:p>
    <w:p>
      <w:pPr>
        <w:ind w:firstLine="560" w:firstLineChars="200"/>
        <w:rPr>
          <w:rFonts w:hint="default" w:ascii="Times New Roman" w:hAnsi="Times New Roman" w:cs="Times New Roman"/>
        </w:rPr>
      </w:pPr>
      <w:r>
        <w:rPr>
          <w:rFonts w:hint="default" w:ascii="Times New Roman" w:hAnsi="Times New Roman" w:cs="Times New Roman"/>
        </w:rPr>
        <w:t>1）按工艺方案、总体布置和自然条件、社会环境对企业的影响等综合方面的危险、有害因素分析和评价，宜将整个企业作为一个评价单元。</w:t>
      </w:r>
    </w:p>
    <w:p>
      <w:pPr>
        <w:ind w:firstLine="560" w:firstLineChars="200"/>
        <w:rPr>
          <w:rFonts w:hint="default" w:ascii="Times New Roman" w:hAnsi="Times New Roman" w:cs="Times New Roman"/>
        </w:rPr>
      </w:pPr>
      <w:r>
        <w:rPr>
          <w:rFonts w:hint="default" w:ascii="Times New Roman" w:hAnsi="Times New Roman" w:cs="Times New Roman"/>
        </w:rPr>
        <w:t>2）将具有共性危险因素、有害因素的场所和装置划为一个单元。</w:t>
      </w:r>
    </w:p>
    <w:p>
      <w:pPr>
        <w:ind w:firstLine="560" w:firstLineChars="200"/>
        <w:rPr>
          <w:rFonts w:hint="default" w:ascii="Times New Roman" w:hAnsi="Times New Roman" w:cs="Times New Roman"/>
        </w:rPr>
      </w:pPr>
      <w:r>
        <w:rPr>
          <w:rFonts w:hint="default" w:ascii="Times New Roman" w:hAnsi="Times New Roman" w:cs="Times New Roman"/>
        </w:rPr>
        <w:t>（1）按危险因素类别各划归一个单元，再按工艺、物料、作业特点（即其潜在危险因素不同）划分成子单元分别评价。</w:t>
      </w:r>
    </w:p>
    <w:p>
      <w:pPr>
        <w:ind w:firstLine="560" w:firstLineChars="200"/>
        <w:rPr>
          <w:rFonts w:hint="default" w:ascii="Times New Roman" w:hAnsi="Times New Roman" w:cs="Times New Roman"/>
        </w:rPr>
      </w:pPr>
      <w:r>
        <w:rPr>
          <w:rFonts w:hint="default" w:ascii="Times New Roman" w:hAnsi="Times New Roman" w:cs="Times New Roman"/>
        </w:rPr>
        <w:t>（2）进行有害因素评价时，宜按有害因素（有害作业）的类别划分评价单元。例如，将噪声、毒物、高温、低温危害的场所各划归一个评价单元。</w:t>
      </w:r>
    </w:p>
    <w:p>
      <w:pPr>
        <w:ind w:firstLine="560" w:firstLineChars="200"/>
        <w:rPr>
          <w:rFonts w:hint="default" w:ascii="Times New Roman" w:hAnsi="Times New Roman" w:cs="Times New Roman"/>
        </w:rPr>
      </w:pPr>
      <w:r>
        <w:rPr>
          <w:rFonts w:hint="default" w:ascii="Times New Roman" w:hAnsi="Times New Roman" w:cs="Times New Roman"/>
        </w:rPr>
        <w:t>2.按装置和物质特征划分</w:t>
      </w:r>
    </w:p>
    <w:p>
      <w:pPr>
        <w:ind w:firstLine="560" w:firstLineChars="200"/>
        <w:rPr>
          <w:rFonts w:hint="default" w:ascii="Times New Roman" w:hAnsi="Times New Roman" w:cs="Times New Roman"/>
        </w:rPr>
      </w:pPr>
      <w:r>
        <w:rPr>
          <w:rFonts w:hint="default" w:ascii="Times New Roman" w:hAnsi="Times New Roman" w:cs="Times New Roman"/>
        </w:rPr>
        <w:t>1）按装置工艺功能划分；</w:t>
      </w:r>
    </w:p>
    <w:p>
      <w:pPr>
        <w:ind w:firstLine="560" w:firstLineChars="200"/>
        <w:rPr>
          <w:rFonts w:hint="default" w:ascii="Times New Roman" w:hAnsi="Times New Roman" w:cs="Times New Roman"/>
        </w:rPr>
      </w:pPr>
      <w:r>
        <w:rPr>
          <w:rFonts w:hint="default" w:ascii="Times New Roman" w:hAnsi="Times New Roman" w:cs="Times New Roman"/>
        </w:rPr>
        <w:t>2）按布置的相对独立性划分；</w:t>
      </w:r>
    </w:p>
    <w:p>
      <w:pPr>
        <w:ind w:firstLine="560" w:firstLineChars="200"/>
        <w:rPr>
          <w:rFonts w:hint="default" w:ascii="Times New Roman" w:hAnsi="Times New Roman" w:cs="Times New Roman"/>
        </w:rPr>
      </w:pPr>
      <w:r>
        <w:rPr>
          <w:rFonts w:hint="default" w:ascii="Times New Roman" w:hAnsi="Times New Roman" w:cs="Times New Roman"/>
        </w:rPr>
        <w:t>3）按工艺条件划分；</w:t>
      </w:r>
    </w:p>
    <w:p>
      <w:pPr>
        <w:ind w:firstLine="560" w:firstLineChars="200"/>
        <w:rPr>
          <w:rFonts w:hint="default" w:ascii="Times New Roman" w:hAnsi="Times New Roman" w:cs="Times New Roman"/>
        </w:rPr>
      </w:pPr>
      <w:r>
        <w:rPr>
          <w:rFonts w:hint="default" w:ascii="Times New Roman" w:hAnsi="Times New Roman" w:cs="Times New Roman"/>
        </w:rPr>
        <w:t>4）按贮存、处理危险物质的潜在化学能、毒性和危险物质的数量划分；</w:t>
      </w:r>
    </w:p>
    <w:p>
      <w:pPr>
        <w:ind w:firstLine="560" w:firstLineChars="200"/>
        <w:rPr>
          <w:rFonts w:hint="default" w:ascii="Times New Roman" w:hAnsi="Times New Roman" w:cs="Times New Roman"/>
        </w:rPr>
      </w:pPr>
      <w:r>
        <w:rPr>
          <w:rFonts w:hint="default" w:ascii="Times New Roman" w:hAnsi="Times New Roman" w:cs="Times New Roman"/>
        </w:rPr>
        <w:t>5）按事故损失程度或危险性划分。</w:t>
      </w:r>
    </w:p>
    <w:p>
      <w:pPr>
        <w:pStyle w:val="4"/>
        <w:rPr>
          <w:rFonts w:hint="default" w:ascii="Times New Roman" w:hAnsi="Times New Roman" w:cs="Times New Roman"/>
        </w:rPr>
      </w:pPr>
      <w:bookmarkStart w:id="164" w:name="_Toc10864"/>
      <w:r>
        <w:rPr>
          <w:rFonts w:hint="default" w:ascii="Times New Roman" w:hAnsi="Times New Roman" w:cs="Times New Roman"/>
        </w:rPr>
        <w:t>E.2评价单元的划分结果</w:t>
      </w:r>
      <w:bookmarkEnd w:id="164"/>
    </w:p>
    <w:p>
      <w:pPr>
        <w:ind w:firstLine="560" w:firstLineChars="200"/>
        <w:rPr>
          <w:rFonts w:hint="default" w:ascii="Times New Roman" w:hAnsi="Times New Roman" w:cs="Times New Roman"/>
        </w:rPr>
      </w:pPr>
      <w:r>
        <w:rPr>
          <w:rFonts w:hint="default" w:ascii="Times New Roman" w:hAnsi="Times New Roman" w:cs="Times New Roman"/>
        </w:rPr>
        <w:t>该</w:t>
      </w:r>
      <w:r>
        <w:rPr>
          <w:rFonts w:hint="eastAsia" w:cs="Times New Roman"/>
          <w:lang w:val="en-US" w:eastAsia="zh-CN"/>
        </w:rPr>
        <w:t>企业</w:t>
      </w:r>
      <w:r>
        <w:rPr>
          <w:rFonts w:hint="default" w:ascii="Times New Roman" w:hAnsi="Times New Roman" w:cs="Times New Roman"/>
        </w:rPr>
        <w:t>评价单元的划分，是在该</w:t>
      </w:r>
      <w:r>
        <w:rPr>
          <w:rFonts w:hint="eastAsia" w:cs="Times New Roman"/>
          <w:lang w:val="en-US" w:eastAsia="zh-CN"/>
        </w:rPr>
        <w:t>企业</w:t>
      </w:r>
      <w:r>
        <w:rPr>
          <w:rFonts w:hint="default" w:ascii="Times New Roman" w:hAnsi="Times New Roman" w:cs="Times New Roman"/>
        </w:rPr>
        <w:t>生产工艺及生产过程的基础上，以该</w:t>
      </w:r>
      <w:r>
        <w:rPr>
          <w:rFonts w:hint="eastAsia" w:cs="Times New Roman"/>
          <w:lang w:val="en-US" w:eastAsia="zh-CN"/>
        </w:rPr>
        <w:t>企业</w:t>
      </w:r>
      <w:r>
        <w:rPr>
          <w:rFonts w:hint="default" w:ascii="Times New Roman" w:hAnsi="Times New Roman" w:cs="Times New Roman"/>
        </w:rPr>
        <w:t>生产工艺、工艺装置、物料的特点和特征，有机结合该</w:t>
      </w:r>
      <w:r>
        <w:rPr>
          <w:rFonts w:hint="eastAsia" w:cs="Times New Roman"/>
          <w:lang w:val="en-US" w:eastAsia="zh-CN"/>
        </w:rPr>
        <w:t>企业</w:t>
      </w:r>
      <w:r>
        <w:rPr>
          <w:rFonts w:hint="default" w:ascii="Times New Roman" w:hAnsi="Times New Roman" w:cs="Times New Roman"/>
        </w:rPr>
        <w:t>危险、有害因素的类别及分布，按照产品和生产装置相对集中的原则，考虑了评价内容和评价方法的特点，划分出的评价单元。</w:t>
      </w:r>
    </w:p>
    <w:p>
      <w:pPr>
        <w:ind w:firstLine="560" w:firstLineChars="200"/>
        <w:rPr>
          <w:rFonts w:hint="default" w:ascii="Times New Roman" w:hAnsi="Times New Roman" w:cs="Times New Roman"/>
        </w:rPr>
      </w:pPr>
      <w:r>
        <w:rPr>
          <w:rFonts w:hint="default" w:ascii="Times New Roman" w:hAnsi="Times New Roman" w:cs="Times New Roman"/>
        </w:rPr>
        <w:t>根据单元划分原则，划分出如下7个单元进行评价：厂址与周边环境单元、总平面布置及建构筑物单元、生产工艺单元、储运单元、公用工程及辅助设施单元、消防单元、安全管理单元。</w:t>
      </w:r>
    </w:p>
    <w:p>
      <w:pPr>
        <w:pStyle w:val="4"/>
        <w:rPr>
          <w:rFonts w:hint="default" w:ascii="Times New Roman" w:hAnsi="Times New Roman" w:cs="Times New Roman"/>
          <w:kern w:val="2"/>
        </w:rPr>
      </w:pPr>
      <w:bookmarkStart w:id="165" w:name="_Toc26802"/>
      <w:r>
        <w:rPr>
          <w:rFonts w:hint="default" w:ascii="Times New Roman" w:hAnsi="Times New Roman" w:cs="Times New Roman"/>
          <w:kern w:val="2"/>
        </w:rPr>
        <w:t>E.3采用评价方法简介</w:t>
      </w:r>
      <w:bookmarkEnd w:id="165"/>
    </w:p>
    <w:p>
      <w:pPr>
        <w:pStyle w:val="5"/>
        <w:ind w:left="0" w:leftChars="0"/>
        <w:rPr>
          <w:rFonts w:hint="default" w:ascii="Times New Roman" w:hAnsi="Times New Roman" w:cs="Times New Roman"/>
        </w:rPr>
      </w:pPr>
      <w:r>
        <w:rPr>
          <w:rFonts w:hint="default" w:ascii="Times New Roman" w:hAnsi="Times New Roman" w:cs="Times New Roman"/>
        </w:rPr>
        <w:t>E.3.1安全检查表法</w:t>
      </w:r>
    </w:p>
    <w:p>
      <w:pPr>
        <w:ind w:firstLine="560" w:firstLineChars="200"/>
        <w:rPr>
          <w:rFonts w:hint="default" w:ascii="Times New Roman" w:hAnsi="Times New Roman" w:cs="Times New Roman"/>
        </w:rPr>
      </w:pPr>
      <w:r>
        <w:rPr>
          <w:rFonts w:hint="default" w:ascii="Times New Roman" w:hAnsi="Times New Roman" w:cs="Times New Roman"/>
        </w:rPr>
        <w:t>安全检查表法又称安全评价表法。</w:t>
      </w:r>
    </w:p>
    <w:p>
      <w:pPr>
        <w:ind w:firstLine="560" w:firstLineChars="200"/>
        <w:rPr>
          <w:rFonts w:hint="default" w:ascii="Times New Roman" w:hAnsi="Times New Roman" w:cs="Times New Roman"/>
        </w:rPr>
      </w:pPr>
      <w:r>
        <w:rPr>
          <w:rFonts w:hint="default" w:ascii="Times New Roman" w:hAnsi="Times New Roman" w:cs="Times New Roman"/>
        </w:rPr>
        <w:t>安全检查表是评价人员在对评价对象充分讨论、分析基础上，列出检查单元、部位和检查项目、检查要求，然后对照可行性研究报告的有关内容，逐项进行检查。</w:t>
      </w:r>
    </w:p>
    <w:p>
      <w:pPr>
        <w:ind w:firstLine="560" w:firstLineChars="200"/>
        <w:rPr>
          <w:rFonts w:hint="default" w:ascii="Times New Roman" w:hAnsi="Times New Roman" w:cs="Times New Roman"/>
        </w:rPr>
      </w:pPr>
      <w:r>
        <w:rPr>
          <w:rFonts w:hint="default" w:ascii="Times New Roman" w:hAnsi="Times New Roman" w:cs="Times New Roman"/>
        </w:rPr>
        <w:t>编制安全检查表的主要依据是：</w:t>
      </w:r>
    </w:p>
    <w:p>
      <w:pPr>
        <w:ind w:firstLine="560" w:firstLineChars="200"/>
        <w:rPr>
          <w:rFonts w:hint="default" w:ascii="Times New Roman" w:hAnsi="Times New Roman" w:cs="Times New Roman"/>
        </w:rPr>
      </w:pPr>
      <w:r>
        <w:rPr>
          <w:rFonts w:hint="default" w:ascii="Times New Roman" w:hAnsi="Times New Roman" w:cs="Times New Roman"/>
        </w:rPr>
        <w:t>1．有关的安全法规、标准、规程。</w:t>
      </w:r>
    </w:p>
    <w:p>
      <w:pPr>
        <w:ind w:firstLine="560" w:firstLineChars="200"/>
        <w:rPr>
          <w:rFonts w:hint="default" w:ascii="Times New Roman" w:hAnsi="Times New Roman" w:cs="Times New Roman"/>
        </w:rPr>
      </w:pPr>
      <w:r>
        <w:rPr>
          <w:rFonts w:hint="default" w:ascii="Times New Roman" w:hAnsi="Times New Roman" w:cs="Times New Roman"/>
        </w:rPr>
        <w:t>2．国内外相关的事故案例。</w:t>
      </w:r>
    </w:p>
    <w:p>
      <w:pPr>
        <w:ind w:firstLine="560" w:firstLineChars="200"/>
        <w:rPr>
          <w:rFonts w:hint="default" w:ascii="Times New Roman" w:hAnsi="Times New Roman" w:cs="Times New Roman"/>
        </w:rPr>
      </w:pPr>
      <w:r>
        <w:rPr>
          <w:rFonts w:hint="default" w:ascii="Times New Roman" w:hAnsi="Times New Roman" w:cs="Times New Roman"/>
        </w:rPr>
        <w:t>3．其他分析方法的结果。</w:t>
      </w:r>
    </w:p>
    <w:p>
      <w:pPr>
        <w:ind w:firstLine="560" w:firstLineChars="200"/>
        <w:rPr>
          <w:rFonts w:hint="default" w:ascii="Times New Roman" w:hAnsi="Times New Roman" w:cs="Times New Roman"/>
        </w:rPr>
      </w:pPr>
      <w:r>
        <w:rPr>
          <w:rFonts w:hint="default" w:ascii="Times New Roman" w:hAnsi="Times New Roman" w:cs="Times New Roman"/>
        </w:rPr>
        <w:t>安全检查表的编制步骤如下：</w:t>
      </w:r>
    </w:p>
    <w:p>
      <w:pPr>
        <w:ind w:firstLine="560" w:firstLineChars="200"/>
        <w:rPr>
          <w:rFonts w:hint="default" w:ascii="Times New Roman" w:hAnsi="Times New Roman" w:cs="Times New Roman"/>
        </w:rPr>
      </w:pPr>
      <w:r>
        <w:rPr>
          <w:rFonts w:hint="default" w:ascii="Times New Roman" w:hAnsi="Times New Roman" w:cs="Times New Roman"/>
        </w:rPr>
        <w:t>（1）熟悉系统。包括评价对象的结构、功能、工艺流程、操作条件、总图布置、已有的安全卫生设置等。</w:t>
      </w:r>
    </w:p>
    <w:p>
      <w:pPr>
        <w:ind w:firstLine="560" w:firstLineChars="200"/>
        <w:rPr>
          <w:rFonts w:hint="default" w:ascii="Times New Roman" w:hAnsi="Times New Roman" w:cs="Times New Roman"/>
        </w:rPr>
      </w:pPr>
      <w:r>
        <w:rPr>
          <w:rFonts w:hint="default" w:ascii="Times New Roman" w:hAnsi="Times New Roman" w:cs="Times New Roman"/>
        </w:rPr>
        <w:t>（2）收集资料。收集与评价对象有关的安全法规、标准、制度、过去发生过的事故案例，作为评价依据。</w:t>
      </w:r>
    </w:p>
    <w:p>
      <w:pPr>
        <w:ind w:firstLine="560" w:firstLineChars="200"/>
        <w:rPr>
          <w:rFonts w:hint="default" w:ascii="Times New Roman" w:hAnsi="Times New Roman" w:cs="Times New Roman"/>
        </w:rPr>
      </w:pPr>
      <w:r>
        <w:rPr>
          <w:rFonts w:hint="default" w:ascii="Times New Roman" w:hAnsi="Times New Roman" w:cs="Times New Roman"/>
        </w:rPr>
        <w:t>（3）划分单元。按功能或结构：将系统划分为若干子系统或单元，逐个分析潜在的危险因素。</w:t>
      </w:r>
    </w:p>
    <w:p>
      <w:pPr>
        <w:ind w:firstLine="560" w:firstLineChars="200"/>
        <w:rPr>
          <w:rFonts w:hint="default" w:ascii="Times New Roman" w:hAnsi="Times New Roman" w:cs="Times New Roman"/>
        </w:rPr>
      </w:pPr>
      <w:r>
        <w:rPr>
          <w:rFonts w:hint="default" w:ascii="Times New Roman" w:hAnsi="Times New Roman" w:cs="Times New Roman"/>
        </w:rPr>
        <w:t>安全检查表一般分为5项，如表E.3-1所示。</w:t>
      </w:r>
    </w:p>
    <w:p>
      <w:pPr>
        <w:spacing w:line="360" w:lineRule="auto"/>
        <w:ind w:firstLine="560" w:firstLineChars="200"/>
        <w:jc w:val="center"/>
        <w:rPr>
          <w:rFonts w:hint="default" w:ascii="Times New Roman" w:hAnsi="Times New Roman" w:cs="Times New Roman"/>
        </w:rPr>
      </w:pPr>
      <w:r>
        <w:rPr>
          <w:rFonts w:hint="default" w:ascii="Times New Roman" w:hAnsi="Times New Roman" w:cs="Times New Roman"/>
        </w:rPr>
        <w:t>表E.3-1 安全检查表</w:t>
      </w:r>
    </w:p>
    <w:tbl>
      <w:tblPr>
        <w:tblStyle w:val="25"/>
        <w:tblW w:w="9288"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349"/>
        <w:gridCol w:w="2287"/>
        <w:gridCol w:w="1508"/>
        <w:gridCol w:w="2153"/>
        <w:gridCol w:w="1991"/>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349" w:type="dxa"/>
            <w:tcBorders>
              <w:top w:val="single" w:color="auto" w:sz="2"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287" w:type="dxa"/>
            <w:tcBorders>
              <w:top w:val="single" w:color="auto" w:sz="2"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检查项目</w:t>
            </w:r>
          </w:p>
        </w:tc>
        <w:tc>
          <w:tcPr>
            <w:tcW w:w="1508" w:type="dxa"/>
            <w:tcBorders>
              <w:top w:val="single" w:color="auto" w:sz="2"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结果</w:t>
            </w:r>
          </w:p>
        </w:tc>
        <w:tc>
          <w:tcPr>
            <w:tcW w:w="2153" w:type="dxa"/>
            <w:tcBorders>
              <w:top w:val="single" w:color="auto" w:sz="2"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依据</w:t>
            </w:r>
          </w:p>
        </w:tc>
        <w:tc>
          <w:tcPr>
            <w:tcW w:w="1991" w:type="dxa"/>
            <w:tcBorders>
              <w:top w:val="single" w:color="auto" w:sz="2"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实际情况</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69" w:hRule="atLeast"/>
          <w:jc w:val="center"/>
        </w:trPr>
        <w:tc>
          <w:tcPr>
            <w:tcW w:w="1349" w:type="dxa"/>
            <w:tcBorders>
              <w:bottom w:val="single" w:color="auto" w:sz="2" w:space="0"/>
            </w:tcBorders>
            <w:vAlign w:val="center"/>
          </w:tcPr>
          <w:p>
            <w:pPr>
              <w:spacing w:line="240" w:lineRule="auto"/>
              <w:jc w:val="center"/>
              <w:rPr>
                <w:rFonts w:hint="default" w:ascii="Times New Roman" w:hAnsi="Times New Roman" w:cs="Times New Roman"/>
                <w:sz w:val="21"/>
                <w:szCs w:val="21"/>
              </w:rPr>
            </w:pPr>
          </w:p>
        </w:tc>
        <w:tc>
          <w:tcPr>
            <w:tcW w:w="2287" w:type="dxa"/>
            <w:tcBorders>
              <w:bottom w:val="single" w:color="auto" w:sz="2" w:space="0"/>
            </w:tcBorders>
            <w:vAlign w:val="center"/>
          </w:tcPr>
          <w:p>
            <w:pPr>
              <w:spacing w:line="240" w:lineRule="auto"/>
              <w:jc w:val="center"/>
              <w:rPr>
                <w:rFonts w:hint="default" w:ascii="Times New Roman" w:hAnsi="Times New Roman" w:cs="Times New Roman"/>
                <w:sz w:val="21"/>
                <w:szCs w:val="21"/>
              </w:rPr>
            </w:pPr>
          </w:p>
        </w:tc>
        <w:tc>
          <w:tcPr>
            <w:tcW w:w="1508" w:type="dxa"/>
            <w:tcBorders>
              <w:bottom w:val="single" w:color="auto" w:sz="2" w:space="0"/>
            </w:tcBorders>
            <w:vAlign w:val="center"/>
          </w:tcPr>
          <w:p>
            <w:pPr>
              <w:spacing w:line="240" w:lineRule="auto"/>
              <w:jc w:val="center"/>
              <w:rPr>
                <w:rFonts w:hint="default" w:ascii="Times New Roman" w:hAnsi="Times New Roman" w:cs="Times New Roman"/>
                <w:sz w:val="21"/>
                <w:szCs w:val="21"/>
              </w:rPr>
            </w:pPr>
          </w:p>
        </w:tc>
        <w:tc>
          <w:tcPr>
            <w:tcW w:w="2153" w:type="dxa"/>
            <w:tcBorders>
              <w:bottom w:val="single" w:color="auto" w:sz="2" w:space="0"/>
            </w:tcBorders>
            <w:vAlign w:val="center"/>
          </w:tcPr>
          <w:p>
            <w:pPr>
              <w:spacing w:line="240" w:lineRule="auto"/>
              <w:jc w:val="center"/>
              <w:rPr>
                <w:rFonts w:hint="default" w:ascii="Times New Roman" w:hAnsi="Times New Roman" w:cs="Times New Roman"/>
                <w:sz w:val="21"/>
                <w:szCs w:val="21"/>
              </w:rPr>
            </w:pPr>
          </w:p>
        </w:tc>
        <w:tc>
          <w:tcPr>
            <w:tcW w:w="1991" w:type="dxa"/>
            <w:tcBorders>
              <w:bottom w:val="single" w:color="auto" w:sz="2" w:space="0"/>
            </w:tcBorders>
            <w:vAlign w:val="center"/>
          </w:tcPr>
          <w:p>
            <w:pPr>
              <w:spacing w:line="240" w:lineRule="auto"/>
              <w:jc w:val="center"/>
              <w:rPr>
                <w:rFonts w:hint="default" w:ascii="Times New Roman" w:hAnsi="Times New Roman" w:cs="Times New Roman"/>
                <w:sz w:val="21"/>
                <w:szCs w:val="21"/>
              </w:rPr>
            </w:pPr>
          </w:p>
        </w:tc>
      </w:tr>
    </w:tbl>
    <w:p>
      <w:pPr>
        <w:pStyle w:val="5"/>
        <w:ind w:left="0" w:leftChars="0"/>
        <w:rPr>
          <w:rFonts w:hint="default" w:ascii="Times New Roman" w:hAnsi="Times New Roman" w:cs="Times New Roman"/>
        </w:rPr>
      </w:pPr>
      <w:r>
        <w:rPr>
          <w:rFonts w:hint="default" w:ascii="Times New Roman" w:hAnsi="Times New Roman" w:cs="Times New Roman"/>
        </w:rPr>
        <w:t>E.3.2危险度评价法</w:t>
      </w:r>
    </w:p>
    <w:p>
      <w:pPr>
        <w:ind w:firstLine="560" w:firstLineChars="200"/>
        <w:rPr>
          <w:rFonts w:hint="default" w:ascii="Times New Roman" w:hAnsi="Times New Roman" w:cs="Times New Roman"/>
        </w:rPr>
      </w:pPr>
      <w:r>
        <w:rPr>
          <w:rFonts w:hint="default" w:ascii="Times New Roman" w:hAnsi="Times New Roman" w:cs="Times New Roman"/>
        </w:rPr>
        <w:t>危险度评价法是根据日本劳动省“六阶段法”的定量评价表，结合我国《压力容器中化学介质毒性危害和爆炸危险程度分类标准》（HG/T20660-2017）等有关标准、规程，编制的“危险度评价取值表”。规定单元危险度由物质、容量、温度、压力和操作5个项目共同确定。其危险性分别按A=10分，B=5分，C=2分，D=0分赋值计分，由累计分值确定单元危险度。危险度评价取值表见表E.3-2。</w:t>
      </w:r>
    </w:p>
    <w:p>
      <w:pPr>
        <w:jc w:val="center"/>
        <w:rPr>
          <w:rFonts w:hint="default" w:ascii="Times New Roman" w:hAnsi="Times New Roman" w:cs="Times New Roman"/>
        </w:rPr>
      </w:pPr>
      <w:r>
        <w:rPr>
          <w:rFonts w:hint="default" w:ascii="Times New Roman" w:hAnsi="Times New Roman" w:cs="Times New Roman"/>
        </w:rPr>
        <w:t>表E.3-2 危险度评价取值表</w:t>
      </w:r>
    </w:p>
    <w:tbl>
      <w:tblPr>
        <w:tblStyle w:val="2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263"/>
        <w:gridCol w:w="2554"/>
        <w:gridCol w:w="2237"/>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87" w:type="dxa"/>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226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A（10分）</w:t>
            </w:r>
          </w:p>
        </w:tc>
        <w:tc>
          <w:tcPr>
            <w:tcW w:w="2554"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B（5分）</w:t>
            </w:r>
          </w:p>
        </w:tc>
        <w:tc>
          <w:tcPr>
            <w:tcW w:w="2237"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C（2分）</w:t>
            </w:r>
          </w:p>
        </w:tc>
        <w:tc>
          <w:tcPr>
            <w:tcW w:w="1547"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D（0分）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87"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物质</w:t>
            </w:r>
          </w:p>
        </w:tc>
        <w:tc>
          <w:tcPr>
            <w:tcW w:w="226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甲类可燃气体；</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甲</w:t>
            </w:r>
            <w:r>
              <w:rPr>
                <w:rFonts w:hint="default" w:ascii="Times New Roman" w:hAnsi="Times New Roman" w:cs="Times New Roman"/>
                <w:sz w:val="21"/>
                <w:szCs w:val="21"/>
                <w:vertAlign w:val="subscript"/>
              </w:rPr>
              <w:t>A</w:t>
            </w:r>
            <w:r>
              <w:rPr>
                <w:rFonts w:hint="default" w:ascii="Times New Roman" w:hAnsi="Times New Roman" w:cs="Times New Roman"/>
                <w:sz w:val="21"/>
                <w:szCs w:val="21"/>
              </w:rPr>
              <w:t>类物质及液态烃类；</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甲类固体；</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极度危害介质</w:t>
            </w:r>
          </w:p>
        </w:tc>
        <w:tc>
          <w:tcPr>
            <w:tcW w:w="2554"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乙类气体；</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甲</w:t>
            </w:r>
            <w:r>
              <w:rPr>
                <w:rFonts w:hint="default" w:ascii="Times New Roman" w:hAnsi="Times New Roman" w:cs="Times New Roman"/>
                <w:sz w:val="21"/>
                <w:szCs w:val="21"/>
                <w:vertAlign w:val="subscript"/>
              </w:rPr>
              <w:t>B</w:t>
            </w:r>
            <w:r>
              <w:rPr>
                <w:rFonts w:hint="default" w:ascii="Times New Roman" w:hAnsi="Times New Roman" w:cs="Times New Roman"/>
                <w:sz w:val="21"/>
                <w:szCs w:val="21"/>
              </w:rPr>
              <w:t>、乙</w:t>
            </w:r>
            <w:r>
              <w:rPr>
                <w:rFonts w:hint="default" w:ascii="Times New Roman" w:hAnsi="Times New Roman" w:cs="Times New Roman"/>
                <w:sz w:val="21"/>
                <w:szCs w:val="21"/>
                <w:vertAlign w:val="subscript"/>
              </w:rPr>
              <w:t>A</w:t>
            </w:r>
            <w:r>
              <w:rPr>
                <w:rFonts w:hint="default" w:ascii="Times New Roman" w:hAnsi="Times New Roman" w:cs="Times New Roman"/>
                <w:sz w:val="21"/>
                <w:szCs w:val="21"/>
              </w:rPr>
              <w:t>类可燃液体；</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 xml:space="preserve">乙类固体； </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高度危害介质</w:t>
            </w:r>
          </w:p>
        </w:tc>
        <w:tc>
          <w:tcPr>
            <w:tcW w:w="2237"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乙</w:t>
            </w:r>
            <w:r>
              <w:rPr>
                <w:rFonts w:hint="default" w:ascii="Times New Roman" w:hAnsi="Times New Roman" w:cs="Times New Roman"/>
                <w:sz w:val="21"/>
                <w:szCs w:val="21"/>
                <w:vertAlign w:val="subscript"/>
              </w:rPr>
              <w:t>B</w:t>
            </w:r>
            <w:r>
              <w:rPr>
                <w:rFonts w:hint="default" w:ascii="Times New Roman" w:hAnsi="Times New Roman" w:cs="Times New Roman"/>
                <w:sz w:val="21"/>
                <w:szCs w:val="21"/>
              </w:rPr>
              <w:t>、丙</w:t>
            </w:r>
            <w:r>
              <w:rPr>
                <w:rFonts w:hint="default" w:ascii="Times New Roman" w:hAnsi="Times New Roman" w:cs="Times New Roman"/>
                <w:sz w:val="21"/>
                <w:szCs w:val="21"/>
                <w:vertAlign w:val="subscript"/>
              </w:rPr>
              <w:t>A</w:t>
            </w:r>
            <w:r>
              <w:rPr>
                <w:rFonts w:hint="default" w:ascii="Times New Roman" w:hAnsi="Times New Roman" w:cs="Times New Roman"/>
                <w:sz w:val="21"/>
                <w:szCs w:val="21"/>
              </w:rPr>
              <w:t>、丙</w:t>
            </w:r>
            <w:r>
              <w:rPr>
                <w:rFonts w:hint="default" w:ascii="Times New Roman" w:hAnsi="Times New Roman" w:cs="Times New Roman"/>
                <w:sz w:val="21"/>
                <w:szCs w:val="21"/>
                <w:vertAlign w:val="subscript"/>
              </w:rPr>
              <w:t>B</w:t>
            </w:r>
            <w:r>
              <w:rPr>
                <w:rFonts w:hint="default" w:ascii="Times New Roman" w:hAnsi="Times New Roman" w:cs="Times New Roman"/>
                <w:sz w:val="21"/>
                <w:szCs w:val="21"/>
              </w:rPr>
              <w:t>类可燃液体；</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丙类固体；</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中、轻度危害介质</w:t>
            </w:r>
          </w:p>
        </w:tc>
        <w:tc>
          <w:tcPr>
            <w:tcW w:w="1547"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不属A、B、C项之物质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87"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容量</w:t>
            </w:r>
          </w:p>
        </w:tc>
        <w:tc>
          <w:tcPr>
            <w:tcW w:w="226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气体1000m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以上</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液体100 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以上</w:t>
            </w:r>
          </w:p>
        </w:tc>
        <w:tc>
          <w:tcPr>
            <w:tcW w:w="2554"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气体500~1000 m</w:t>
            </w:r>
            <w:r>
              <w:rPr>
                <w:rFonts w:hint="default" w:ascii="Times New Roman" w:hAnsi="Times New Roman" w:cs="Times New Roman"/>
                <w:sz w:val="21"/>
                <w:szCs w:val="21"/>
                <w:vertAlign w:val="superscript"/>
              </w:rPr>
              <w:t>3</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液体50~100 m</w:t>
            </w:r>
            <w:r>
              <w:rPr>
                <w:rFonts w:hint="default" w:ascii="Times New Roman" w:hAnsi="Times New Roman" w:cs="Times New Roman"/>
                <w:sz w:val="21"/>
                <w:szCs w:val="21"/>
                <w:vertAlign w:val="superscript"/>
              </w:rPr>
              <w:t>3</w:t>
            </w:r>
          </w:p>
        </w:tc>
        <w:tc>
          <w:tcPr>
            <w:tcW w:w="2237"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气体100~500 m</w:t>
            </w:r>
            <w:r>
              <w:rPr>
                <w:rFonts w:hint="default" w:ascii="Times New Roman" w:hAnsi="Times New Roman" w:cs="Times New Roman"/>
                <w:sz w:val="21"/>
                <w:szCs w:val="21"/>
                <w:vertAlign w:val="superscript"/>
              </w:rPr>
              <w:t>3</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液体10~50 m</w:t>
            </w:r>
            <w:r>
              <w:rPr>
                <w:rFonts w:hint="default" w:ascii="Times New Roman" w:hAnsi="Times New Roman" w:cs="Times New Roman"/>
                <w:sz w:val="21"/>
                <w:szCs w:val="21"/>
                <w:vertAlign w:val="superscript"/>
              </w:rPr>
              <w:t>3</w:t>
            </w:r>
          </w:p>
        </w:tc>
        <w:tc>
          <w:tcPr>
            <w:tcW w:w="1547"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气体＜100 m</w:t>
            </w:r>
            <w:r>
              <w:rPr>
                <w:rFonts w:hint="default" w:ascii="Times New Roman" w:hAnsi="Times New Roman" w:cs="Times New Roman"/>
                <w:sz w:val="21"/>
                <w:szCs w:val="21"/>
                <w:vertAlign w:val="superscript"/>
              </w:rPr>
              <w:t>3</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液体＜10 m</w:t>
            </w:r>
            <w:r>
              <w:rPr>
                <w:rFonts w:hint="default" w:ascii="Times New Roman" w:hAnsi="Times New Roman"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87"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温度</w:t>
            </w:r>
          </w:p>
        </w:tc>
        <w:tc>
          <w:tcPr>
            <w:tcW w:w="226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1000℃以上使用，其操作温度在燃点以上</w:t>
            </w:r>
          </w:p>
        </w:tc>
        <w:tc>
          <w:tcPr>
            <w:tcW w:w="2554"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1000℃以上使用，但操作温度在燃点以下；</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在250~1000℃使用，其操作温度在燃点以上</w:t>
            </w:r>
          </w:p>
        </w:tc>
        <w:tc>
          <w:tcPr>
            <w:tcW w:w="2237"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在250~1000℃使用，但操作温度在燃点以下；</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在低于在250℃使用，其操作温度在燃点以上</w:t>
            </w:r>
          </w:p>
        </w:tc>
        <w:tc>
          <w:tcPr>
            <w:tcW w:w="1547"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在低于250℃时使用，其操作温度在燃点以下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87"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压力</w:t>
            </w:r>
          </w:p>
        </w:tc>
        <w:tc>
          <w:tcPr>
            <w:tcW w:w="2263"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100MPa</w:t>
            </w:r>
          </w:p>
        </w:tc>
        <w:tc>
          <w:tcPr>
            <w:tcW w:w="2554"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20~100 MPa</w:t>
            </w:r>
          </w:p>
        </w:tc>
        <w:tc>
          <w:tcPr>
            <w:tcW w:w="2237"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1~20 MPa</w:t>
            </w:r>
          </w:p>
        </w:tc>
        <w:tc>
          <w:tcPr>
            <w:tcW w:w="1547"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 MPa以下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87"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操作</w:t>
            </w:r>
          </w:p>
        </w:tc>
        <w:tc>
          <w:tcPr>
            <w:tcW w:w="2263"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临界放热和特别剧烈的反应操作；</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在爆炸极限范围内或其附近操作。</w:t>
            </w:r>
          </w:p>
        </w:tc>
        <w:tc>
          <w:tcPr>
            <w:tcW w:w="2554"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中等放热反应；</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系统进入空气或不纯物质，可能发生危险的操作；</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使用粉状或雾状物质，有可能发生粉尘爆炸的操作；</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单批式操作；</w:t>
            </w:r>
          </w:p>
        </w:tc>
        <w:tc>
          <w:tcPr>
            <w:tcW w:w="2237"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轻微放热反应；</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在精制过程中伴有化学反应；</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单批式操作，但开始使用机械进行程序操作；</w:t>
            </w:r>
          </w:p>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有一定危险的操作</w:t>
            </w:r>
          </w:p>
        </w:tc>
        <w:tc>
          <w:tcPr>
            <w:tcW w:w="1547" w:type="dxa"/>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无危险的操作</w:t>
            </w:r>
          </w:p>
        </w:tc>
      </w:tr>
    </w:tbl>
    <w:p>
      <w:pPr>
        <w:ind w:firstLine="560" w:firstLineChars="200"/>
        <w:rPr>
          <w:rFonts w:hint="default" w:ascii="Times New Roman" w:hAnsi="Times New Roman" w:cs="Times New Roman"/>
        </w:rPr>
      </w:pPr>
      <w:r>
        <w:rPr>
          <w:rFonts w:hint="default" w:ascii="Times New Roman" w:hAnsi="Times New Roman" w:cs="Times New Roman"/>
        </w:rPr>
        <w:t>危险度分级见表E.3-3。</w:t>
      </w:r>
    </w:p>
    <w:p>
      <w:pPr>
        <w:jc w:val="center"/>
        <w:rPr>
          <w:rFonts w:hint="default" w:ascii="Times New Roman" w:hAnsi="Times New Roman" w:cs="Times New Roman"/>
        </w:rPr>
      </w:pPr>
      <w:r>
        <w:rPr>
          <w:rFonts w:hint="default" w:ascii="Times New Roman" w:hAnsi="Times New Roman" w:cs="Times New Roman"/>
        </w:rPr>
        <w:t>表E.3-3 危险度分级表</w:t>
      </w:r>
    </w:p>
    <w:tbl>
      <w:tblPr>
        <w:tblStyle w:val="25"/>
        <w:tblW w:w="9288" w:type="dxa"/>
        <w:tblInd w:w="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21"/>
        <w:gridCol w:w="2322"/>
        <w:gridCol w:w="2322"/>
        <w:gridCol w:w="23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2321" w:type="dxa"/>
            <w:tcBorders>
              <w:top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总分值</w:t>
            </w:r>
          </w:p>
        </w:tc>
        <w:tc>
          <w:tcPr>
            <w:tcW w:w="232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≥16分</w:t>
            </w:r>
          </w:p>
        </w:tc>
        <w:tc>
          <w:tcPr>
            <w:tcW w:w="232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11~15分</w:t>
            </w:r>
          </w:p>
        </w:tc>
        <w:tc>
          <w:tcPr>
            <w:tcW w:w="2323" w:type="dxa"/>
            <w:tcBorders>
              <w:top w:val="single" w:color="auto" w:sz="4" w:space="0"/>
              <w:left w:val="single" w:color="auto" w:sz="4" w:space="0"/>
              <w:bottom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2321" w:type="dxa"/>
            <w:tcBorders>
              <w:top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等级</w:t>
            </w:r>
          </w:p>
        </w:tc>
        <w:tc>
          <w:tcPr>
            <w:tcW w:w="232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Ⅰ</w:t>
            </w:r>
          </w:p>
        </w:tc>
        <w:tc>
          <w:tcPr>
            <w:tcW w:w="232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Ⅱ</w:t>
            </w:r>
          </w:p>
        </w:tc>
        <w:tc>
          <w:tcPr>
            <w:tcW w:w="2323" w:type="dxa"/>
            <w:tcBorders>
              <w:top w:val="single" w:color="auto" w:sz="4" w:space="0"/>
              <w:left w:val="single" w:color="auto" w:sz="4" w:space="0"/>
              <w:bottom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2321" w:type="dxa"/>
            <w:tcBorders>
              <w:top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危险程度</w:t>
            </w:r>
          </w:p>
        </w:tc>
        <w:tc>
          <w:tcPr>
            <w:tcW w:w="232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高度危险</w:t>
            </w:r>
          </w:p>
        </w:tc>
        <w:tc>
          <w:tcPr>
            <w:tcW w:w="232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中度危险</w:t>
            </w:r>
          </w:p>
        </w:tc>
        <w:tc>
          <w:tcPr>
            <w:tcW w:w="2323" w:type="dxa"/>
            <w:tcBorders>
              <w:top w:val="single" w:color="auto" w:sz="4" w:space="0"/>
              <w:left w:val="single" w:color="auto" w:sz="4" w:space="0"/>
              <w:bottom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低度危险</w:t>
            </w:r>
          </w:p>
        </w:tc>
      </w:tr>
    </w:tbl>
    <w:p>
      <w:pPr>
        <w:pStyle w:val="5"/>
        <w:pageBreakBefore w:val="0"/>
        <w:widowControl w:val="0"/>
        <w:kinsoku/>
        <w:wordWrap/>
        <w:overflowPunct/>
        <w:topLinePunct w:val="0"/>
        <w:autoSpaceDE/>
        <w:autoSpaceDN/>
        <w:bidi w:val="0"/>
        <w:adjustRightInd/>
        <w:snapToGrid/>
        <w:spacing w:line="580" w:lineRule="exact"/>
        <w:ind w:left="0" w:leftChars="0"/>
        <w:textAlignment w:val="auto"/>
        <w:rPr>
          <w:rFonts w:hint="default" w:ascii="Times New Roman" w:hAnsi="Times New Roman" w:cs="Times New Roman"/>
        </w:rPr>
      </w:pPr>
      <w:r>
        <w:rPr>
          <w:rFonts w:hint="default" w:ascii="Times New Roman" w:hAnsi="Times New Roman" w:cs="Times New Roman"/>
        </w:rPr>
        <w:t>E.3.3重大事故后果分析</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根据《危险化学品生产装置及储存设施外部安全防护距离确定方法》（GB/T37243-2019）推荐的定量风险计算软件计算该建设项目的重大事故后果。</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1）设备设施失效频率分析</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在危险源信息的基础上，结合事故树的分析，筛选出定量风险评价所需的压力容器、常压容器、管线、阀门、泵、压缩机等事故风险点清单。在工艺过程危险因素分析的基础上，进行主要危险点泄漏尺寸类型分析，以此确定各危险点设备设施失效频率。</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2）事故发生情景频率分析</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各个风险点会因危险物质种类、泄漏类型、泄漏大小等的不同而产生不同的事故情景，不同事故情景发生的概率不同。通过事件树分析，建立不同事故风险点的事件树，进行量化分析，确定发生凝聚项含能材料整体爆炸、压力容器物理爆炸、Beleve、VCE、池火灾、有毒气体扩散等情景的条件概率分布。</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3）泄漏计算</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存储于罐体、管道的介质由于罐体或管道破损，会产生泄漏，形成液池和蒸发。通过软件内嵌的泄漏模型，计算出泄漏量、蒸发量、液池面积等数据，为事故后果和个人风险计算提供支持。</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4）事故后果计算</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根据事故情景描述以及泄漏计算的结果，可以计算出所有事故情景的事故伤害后果</w:t>
      </w:r>
      <w:r>
        <w:rPr>
          <w:rFonts w:hint="default" w:ascii="Times New Roman" w:hAnsi="Times New Roman" w:cs="Times New Roman"/>
          <w:lang w:eastAsia="zh-CN"/>
        </w:rPr>
        <w:t>，</w:t>
      </w:r>
      <w:r>
        <w:rPr>
          <w:rFonts w:hint="default" w:ascii="Times New Roman" w:hAnsi="Times New Roman" w:cs="Times New Roman"/>
        </w:rPr>
        <w:t>用死亡可能性50%的涵盖区域来描述。其中还包含气体扩散形成蒸气云爆炸和闪火危害的后果。</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5）个人风险计算</w:t>
      </w:r>
    </w:p>
    <w:p>
      <w:pPr>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cs="Times New Roman"/>
        </w:rPr>
      </w:pPr>
      <w:r>
        <w:rPr>
          <w:rFonts w:hint="default" w:ascii="Times New Roman" w:hAnsi="Times New Roman" w:cs="Times New Roman"/>
        </w:rPr>
        <w:t>基于设备设施失效频率、事故发生情景频率、气象条件概率和事故后果，通过计算模块，完成事故发生频率（fs）和事故后果（vs）的拟合计算，并在评价区域平面图上绘制出所要求的个人风险等值线分布图</w:t>
      </w:r>
    </w:p>
    <w:p>
      <w:pPr>
        <w:pStyle w:val="3"/>
        <w:rPr>
          <w:rFonts w:hint="default" w:ascii="Times New Roman" w:hAnsi="Times New Roman" w:cs="Times New Roman"/>
        </w:rPr>
      </w:pPr>
      <w:r>
        <w:rPr>
          <w:rFonts w:hint="default" w:ascii="Times New Roman" w:hAnsi="Times New Roman" w:cs="Times New Roman"/>
        </w:rPr>
        <w:br w:type="page"/>
      </w:r>
      <w:bookmarkStart w:id="166" w:name="_Toc26828"/>
      <w:r>
        <w:rPr>
          <w:rFonts w:hint="default" w:ascii="Times New Roman" w:hAnsi="Times New Roman" w:cs="Times New Roman"/>
        </w:rPr>
        <w:t>附件F企业提供的原始资料目录</w:t>
      </w:r>
      <w:bookmarkEnd w:id="166"/>
    </w:p>
    <w:p>
      <w:pPr>
        <w:ind w:firstLine="560" w:firstLineChars="200"/>
        <w:rPr>
          <w:rFonts w:hint="default" w:ascii="Times New Roman" w:hAnsi="Times New Roman" w:cs="Times New Roman"/>
        </w:rPr>
      </w:pPr>
      <w:r>
        <w:rPr>
          <w:rFonts w:hint="default" w:ascii="Times New Roman" w:hAnsi="Times New Roman" w:cs="Times New Roman"/>
        </w:rPr>
        <w:t>交换意见</w:t>
      </w:r>
    </w:p>
    <w:p>
      <w:pPr>
        <w:ind w:firstLine="560" w:firstLineChars="200"/>
        <w:rPr>
          <w:rFonts w:hint="default" w:ascii="Times New Roman" w:hAnsi="Times New Roman" w:cs="Times New Roman"/>
        </w:rPr>
      </w:pPr>
      <w:r>
        <w:rPr>
          <w:rFonts w:hint="default" w:ascii="Times New Roman" w:hAnsi="Times New Roman" w:cs="Times New Roman"/>
        </w:rPr>
        <w:t>企业整改回复</w:t>
      </w:r>
    </w:p>
    <w:p>
      <w:pPr>
        <w:ind w:firstLine="560" w:firstLineChars="200"/>
        <w:rPr>
          <w:rFonts w:hint="default" w:ascii="Times New Roman" w:hAnsi="Times New Roman" w:cs="Times New Roman"/>
        </w:rPr>
      </w:pPr>
      <w:r>
        <w:rPr>
          <w:rFonts w:hint="default" w:ascii="Times New Roman" w:hAnsi="Times New Roman" w:cs="Times New Roman"/>
        </w:rPr>
        <w:t>营业执照复印件</w:t>
      </w:r>
    </w:p>
    <w:p>
      <w:pPr>
        <w:ind w:firstLine="560" w:firstLineChars="200"/>
        <w:rPr>
          <w:rFonts w:hint="default" w:ascii="Times New Roman" w:hAnsi="Times New Roman" w:cs="Times New Roman"/>
        </w:rPr>
      </w:pPr>
      <w:r>
        <w:rPr>
          <w:rFonts w:hint="default" w:ascii="Times New Roman" w:hAnsi="Times New Roman" w:cs="Times New Roman"/>
        </w:rPr>
        <w:t>安全生产许可证复印件</w:t>
      </w:r>
    </w:p>
    <w:p>
      <w:pPr>
        <w:ind w:firstLine="560" w:firstLineChars="200"/>
        <w:rPr>
          <w:rFonts w:hint="default" w:ascii="Times New Roman" w:hAnsi="Times New Roman" w:cs="Times New Roman"/>
        </w:rPr>
      </w:pPr>
      <w:r>
        <w:rPr>
          <w:rFonts w:hint="default" w:ascii="Times New Roman" w:hAnsi="Times New Roman" w:cs="Times New Roman"/>
        </w:rPr>
        <w:t>安标化证书</w:t>
      </w:r>
    </w:p>
    <w:p>
      <w:pPr>
        <w:ind w:firstLine="560" w:firstLineChars="200"/>
        <w:rPr>
          <w:rFonts w:hint="default" w:ascii="Times New Roman" w:hAnsi="Times New Roman" w:cs="Times New Roman"/>
        </w:rPr>
      </w:pPr>
      <w:r>
        <w:rPr>
          <w:rFonts w:hint="default" w:ascii="Times New Roman" w:hAnsi="Times New Roman" w:cs="Times New Roman"/>
        </w:rPr>
        <w:t>土地证复印件</w:t>
      </w:r>
    </w:p>
    <w:p>
      <w:pPr>
        <w:ind w:firstLine="560" w:firstLineChars="200"/>
        <w:rPr>
          <w:rFonts w:hint="default" w:ascii="Times New Roman" w:hAnsi="Times New Roman" w:cs="Times New Roman"/>
        </w:rPr>
      </w:pPr>
      <w:r>
        <w:rPr>
          <w:rFonts w:hint="default" w:ascii="Times New Roman" w:hAnsi="Times New Roman" w:cs="Times New Roman"/>
        </w:rPr>
        <w:t>危险化学登记证</w:t>
      </w:r>
    </w:p>
    <w:p>
      <w:pPr>
        <w:ind w:firstLine="560" w:firstLineChars="200"/>
        <w:rPr>
          <w:rFonts w:hint="default" w:ascii="Times New Roman" w:hAnsi="Times New Roman" w:cs="Times New Roman"/>
        </w:rPr>
      </w:pPr>
      <w:r>
        <w:rPr>
          <w:rFonts w:hint="default" w:ascii="Times New Roman" w:hAnsi="Times New Roman" w:cs="Times New Roman"/>
        </w:rPr>
        <w:t>消防验收意见书复印件</w:t>
      </w:r>
    </w:p>
    <w:p>
      <w:pPr>
        <w:ind w:firstLine="560" w:firstLineChars="200"/>
        <w:rPr>
          <w:rFonts w:hint="default" w:ascii="Times New Roman" w:hAnsi="Times New Roman" w:cs="Times New Roman"/>
        </w:rPr>
      </w:pPr>
      <w:r>
        <w:rPr>
          <w:rFonts w:hint="default" w:ascii="Times New Roman" w:hAnsi="Times New Roman" w:cs="Times New Roman"/>
          <w:lang w:val="en-US" w:eastAsia="zh-CN"/>
        </w:rPr>
        <w:t>自控系统</w:t>
      </w:r>
      <w:r>
        <w:rPr>
          <w:rFonts w:hint="default" w:ascii="Times New Roman" w:hAnsi="Times New Roman" w:cs="Times New Roman"/>
        </w:rPr>
        <w:t>调试报告</w:t>
      </w:r>
    </w:p>
    <w:p>
      <w:pPr>
        <w:ind w:firstLine="560" w:firstLineChars="200"/>
        <w:rPr>
          <w:rFonts w:hint="default" w:ascii="Times New Roman" w:hAnsi="Times New Roman" w:cs="Times New Roman"/>
        </w:rPr>
      </w:pPr>
      <w:r>
        <w:rPr>
          <w:rFonts w:hint="default" w:ascii="Times New Roman" w:hAnsi="Times New Roman" w:cs="Times New Roman"/>
          <w:lang w:eastAsia="zh-CN"/>
        </w:rPr>
        <w:t>安全生产委员会</w:t>
      </w:r>
      <w:r>
        <w:rPr>
          <w:rFonts w:hint="default" w:ascii="Times New Roman" w:hAnsi="Times New Roman" w:cs="Times New Roman"/>
        </w:rPr>
        <w:t>任命文件及安全生产管理机构</w:t>
      </w:r>
    </w:p>
    <w:p>
      <w:pPr>
        <w:ind w:firstLine="560" w:firstLineChars="200"/>
        <w:rPr>
          <w:rFonts w:hint="default" w:ascii="Times New Roman" w:hAnsi="Times New Roman" w:cs="Times New Roman"/>
        </w:rPr>
      </w:pPr>
      <w:r>
        <w:rPr>
          <w:rFonts w:hint="default" w:ascii="Times New Roman" w:hAnsi="Times New Roman" w:cs="Times New Roman"/>
        </w:rPr>
        <w:t>企业主要负责人、安全管理人员及特种作业人员证书复印件</w:t>
      </w:r>
    </w:p>
    <w:p>
      <w:pPr>
        <w:ind w:firstLine="560" w:firstLineChars="200"/>
        <w:rPr>
          <w:rFonts w:hint="default" w:ascii="Times New Roman" w:hAnsi="Times New Roman" w:cs="Times New Roman"/>
        </w:rPr>
      </w:pPr>
      <w:r>
        <w:rPr>
          <w:rFonts w:hint="default" w:ascii="Times New Roman" w:hAnsi="Times New Roman" w:cs="Times New Roman"/>
        </w:rPr>
        <w:t>应急预案备案登记表、应急演练记录</w:t>
      </w:r>
    </w:p>
    <w:p>
      <w:pPr>
        <w:ind w:firstLine="560" w:firstLineChars="200"/>
        <w:rPr>
          <w:rFonts w:hint="default" w:ascii="Times New Roman" w:hAnsi="Times New Roman" w:cs="Times New Roman"/>
        </w:rPr>
      </w:pPr>
      <w:r>
        <w:rPr>
          <w:rFonts w:hint="default" w:ascii="Times New Roman" w:hAnsi="Times New Roman" w:cs="Times New Roman"/>
        </w:rPr>
        <w:t>安全生产责任制、管理制度及技术规程</w:t>
      </w:r>
    </w:p>
    <w:p>
      <w:pPr>
        <w:ind w:firstLine="560" w:firstLineChars="200"/>
        <w:rPr>
          <w:rFonts w:hint="default" w:ascii="Times New Roman" w:hAnsi="Times New Roman" w:cs="Times New Roman"/>
        </w:rPr>
      </w:pPr>
      <w:r>
        <w:rPr>
          <w:rFonts w:hint="default" w:ascii="Times New Roman" w:hAnsi="Times New Roman" w:cs="Times New Roman"/>
        </w:rPr>
        <w:t>工伤保险及安全生产责任险缴纳证明</w:t>
      </w:r>
    </w:p>
    <w:p>
      <w:pPr>
        <w:ind w:firstLine="560" w:firstLineChars="200"/>
        <w:rPr>
          <w:rFonts w:hint="default" w:ascii="Times New Roman" w:hAnsi="Times New Roman" w:cs="Times New Roman"/>
        </w:rPr>
      </w:pPr>
      <w:r>
        <w:rPr>
          <w:rFonts w:hint="default" w:ascii="Times New Roman" w:hAnsi="Times New Roman" w:cs="Times New Roman"/>
        </w:rPr>
        <w:t>雷电防护装置检测报告复印件</w:t>
      </w:r>
    </w:p>
    <w:p>
      <w:pPr>
        <w:ind w:firstLine="560" w:firstLineChars="200"/>
        <w:rPr>
          <w:rFonts w:hint="default" w:ascii="Times New Roman" w:hAnsi="Times New Roman" w:cs="Times New Roman"/>
        </w:rPr>
      </w:pPr>
      <w:r>
        <w:rPr>
          <w:rFonts w:hint="default" w:ascii="Times New Roman" w:hAnsi="Times New Roman" w:cs="Times New Roman"/>
        </w:rPr>
        <w:t>安全附件检测台账及文件（部分）</w:t>
      </w:r>
    </w:p>
    <w:p>
      <w:pPr>
        <w:ind w:firstLine="560" w:firstLineChars="200"/>
        <w:rPr>
          <w:rFonts w:hint="default" w:ascii="Times New Roman" w:hAnsi="Times New Roman" w:cs="Times New Roman"/>
        </w:rPr>
      </w:pPr>
      <w:r>
        <w:rPr>
          <w:rFonts w:hint="default" w:ascii="Times New Roman" w:hAnsi="Times New Roman" w:cs="Times New Roman"/>
        </w:rPr>
        <w:t>特种设备检测台账、报告及登记使用证（部分）</w:t>
      </w:r>
    </w:p>
    <w:p>
      <w:pPr>
        <w:ind w:firstLine="560" w:firstLineChars="200"/>
        <w:rPr>
          <w:rFonts w:hint="default" w:ascii="Times New Roman" w:hAnsi="Times New Roman" w:cs="Times New Roman"/>
        </w:rPr>
      </w:pPr>
      <w:r>
        <w:rPr>
          <w:rFonts w:hint="default" w:ascii="Times New Roman" w:hAnsi="Times New Roman" w:cs="Times New Roman"/>
        </w:rPr>
        <w:t>有毒气体设施校准证书（部分）</w:t>
      </w:r>
    </w:p>
    <w:p>
      <w:pPr>
        <w:ind w:firstLine="560" w:firstLineChars="200"/>
        <w:rPr>
          <w:rFonts w:hint="default" w:ascii="Times New Roman" w:hAnsi="Times New Roman" w:cs="Times New Roman"/>
        </w:rPr>
      </w:pPr>
      <w:r>
        <w:rPr>
          <w:rFonts w:hint="default" w:ascii="Times New Roman" w:hAnsi="Times New Roman" w:cs="Times New Roman"/>
        </w:rPr>
        <w:t>总平面布置图</w:t>
      </w:r>
    </w:p>
    <w:p>
      <w:pPr>
        <w:pStyle w:val="3"/>
        <w:rPr>
          <w:rFonts w:hint="default" w:ascii="Times New Roman" w:hAnsi="Times New Roman" w:cs="Times New Roman"/>
        </w:rPr>
      </w:pPr>
      <w:r>
        <w:rPr>
          <w:rFonts w:hint="default" w:ascii="Times New Roman" w:hAnsi="Times New Roman" w:cs="Times New Roman"/>
        </w:rPr>
        <w:br w:type="page"/>
      </w:r>
      <w:bookmarkStart w:id="167" w:name="_Toc12944"/>
      <w:r>
        <w:rPr>
          <w:rFonts w:hint="default" w:ascii="Times New Roman" w:hAnsi="Times New Roman" w:cs="Times New Roman"/>
        </w:rPr>
        <w:t>附件G法定检测、检验情况的汇总表</w:t>
      </w:r>
      <w:bookmarkEnd w:id="167"/>
    </w:p>
    <w:p>
      <w:pPr>
        <w:spacing w:line="240" w:lineRule="auto"/>
        <w:jc w:val="center"/>
        <w:rPr>
          <w:rFonts w:hint="default" w:ascii="Times New Roman" w:hAnsi="Times New Roman" w:cs="Times New Roman"/>
          <w:b/>
          <w:bCs/>
          <w:sz w:val="28"/>
          <w:szCs w:val="28"/>
        </w:rPr>
      </w:pPr>
      <w:r>
        <w:rPr>
          <w:rFonts w:hint="default" w:ascii="Times New Roman" w:hAnsi="Times New Roman" w:cs="Times New Roman"/>
          <w:b/>
          <w:bCs/>
          <w:sz w:val="28"/>
          <w:szCs w:val="28"/>
        </w:rPr>
        <w:t>附表</w:t>
      </w:r>
      <w:r>
        <w:rPr>
          <w:rFonts w:hint="default" w:ascii="Times New Roman" w:hAnsi="Times New Roman" w:cs="Times New Roman"/>
          <w:b/>
          <w:bCs/>
          <w:sz w:val="28"/>
          <w:szCs w:val="28"/>
          <w:lang w:val="en-US" w:eastAsia="zh-CN"/>
        </w:rPr>
        <w:t>G</w:t>
      </w:r>
      <w:r>
        <w:rPr>
          <w:rFonts w:hint="default" w:ascii="Times New Roman" w:hAnsi="Times New Roman" w:cs="Times New Roman"/>
          <w:b/>
          <w:bCs/>
          <w:sz w:val="28"/>
          <w:szCs w:val="28"/>
        </w:rPr>
        <w:t>-1  法定检测、检验情况的汇总表</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34"/>
        <w:gridCol w:w="1716"/>
        <w:gridCol w:w="876"/>
        <w:gridCol w:w="1764"/>
        <w:gridCol w:w="1000"/>
        <w:gridCol w:w="2092"/>
        <w:gridCol w:w="110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3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1716"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法定检测、检验项目</w:t>
            </w:r>
          </w:p>
        </w:tc>
        <w:tc>
          <w:tcPr>
            <w:tcW w:w="876"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总数</w:t>
            </w:r>
          </w:p>
        </w:tc>
        <w:tc>
          <w:tcPr>
            <w:tcW w:w="176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在规定的检测、检验期内的数目</w:t>
            </w:r>
          </w:p>
        </w:tc>
        <w:tc>
          <w:tcPr>
            <w:tcW w:w="100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未按期校验的数目</w:t>
            </w:r>
          </w:p>
        </w:tc>
        <w:tc>
          <w:tcPr>
            <w:tcW w:w="209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检测单位</w:t>
            </w:r>
          </w:p>
        </w:tc>
        <w:tc>
          <w:tcPr>
            <w:tcW w:w="110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检测结论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3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716"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压力容器</w:t>
            </w:r>
          </w:p>
        </w:tc>
        <w:tc>
          <w:tcPr>
            <w:tcW w:w="876" w:type="dxa"/>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1</w:t>
            </w:r>
          </w:p>
        </w:tc>
        <w:tc>
          <w:tcPr>
            <w:tcW w:w="1764" w:type="dxa"/>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0</w:t>
            </w:r>
          </w:p>
        </w:tc>
        <w:tc>
          <w:tcPr>
            <w:tcW w:w="100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092"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简单压力容器</w:t>
            </w:r>
          </w:p>
        </w:tc>
        <w:tc>
          <w:tcPr>
            <w:tcW w:w="1104" w:type="dxa"/>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3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716"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安全阀</w:t>
            </w:r>
          </w:p>
        </w:tc>
        <w:tc>
          <w:tcPr>
            <w:tcW w:w="876" w:type="dxa"/>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1</w:t>
            </w:r>
          </w:p>
        </w:tc>
        <w:tc>
          <w:tcPr>
            <w:tcW w:w="1764" w:type="dxa"/>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0</w:t>
            </w:r>
          </w:p>
        </w:tc>
        <w:tc>
          <w:tcPr>
            <w:tcW w:w="100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092"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新购买，处于免检期</w:t>
            </w:r>
          </w:p>
        </w:tc>
        <w:tc>
          <w:tcPr>
            <w:tcW w:w="110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3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1716"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压力表</w:t>
            </w:r>
          </w:p>
        </w:tc>
        <w:tc>
          <w:tcPr>
            <w:tcW w:w="876" w:type="dxa"/>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1</w:t>
            </w:r>
          </w:p>
        </w:tc>
        <w:tc>
          <w:tcPr>
            <w:tcW w:w="176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全部</w:t>
            </w:r>
          </w:p>
        </w:tc>
        <w:tc>
          <w:tcPr>
            <w:tcW w:w="100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092"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上饶市</w:t>
            </w:r>
            <w:r>
              <w:rPr>
                <w:rFonts w:hint="default" w:ascii="Times New Roman" w:hAnsi="Times New Roman" w:cs="Times New Roman"/>
                <w:sz w:val="21"/>
                <w:szCs w:val="21"/>
                <w:lang w:val="en-US" w:eastAsia="zh-CN"/>
              </w:rPr>
              <w:t>广丰区市场和质量监督管理局检验检测中心</w:t>
            </w:r>
          </w:p>
        </w:tc>
        <w:tc>
          <w:tcPr>
            <w:tcW w:w="110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合格，见附件。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3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1716"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有毒</w:t>
            </w:r>
            <w:r>
              <w:rPr>
                <w:rFonts w:hint="default" w:ascii="Times New Roman" w:hAnsi="Times New Roman" w:cs="Times New Roman"/>
                <w:sz w:val="21"/>
                <w:szCs w:val="21"/>
              </w:rPr>
              <w:t>气体检测报警器</w:t>
            </w:r>
          </w:p>
        </w:tc>
        <w:tc>
          <w:tcPr>
            <w:tcW w:w="876"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176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全部</w:t>
            </w:r>
          </w:p>
        </w:tc>
        <w:tc>
          <w:tcPr>
            <w:tcW w:w="100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09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浙江中量检测技术有限公司</w:t>
            </w:r>
          </w:p>
        </w:tc>
        <w:tc>
          <w:tcPr>
            <w:tcW w:w="110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合格，见附件。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34"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w:t>
            </w:r>
          </w:p>
        </w:tc>
        <w:tc>
          <w:tcPr>
            <w:tcW w:w="1716" w:type="dxa"/>
            <w:noWrap w:val="0"/>
            <w:vAlign w:val="center"/>
          </w:tcPr>
          <w:p>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便携式气体</w:t>
            </w:r>
            <w:r>
              <w:rPr>
                <w:rFonts w:hint="default" w:ascii="Times New Roman" w:hAnsi="Times New Roman" w:cs="Times New Roman"/>
                <w:sz w:val="21"/>
                <w:szCs w:val="21"/>
              </w:rPr>
              <w:t>检测报警器</w:t>
            </w:r>
          </w:p>
        </w:tc>
        <w:tc>
          <w:tcPr>
            <w:tcW w:w="876" w:type="dxa"/>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1764" w:type="dxa"/>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0</w:t>
            </w:r>
          </w:p>
        </w:tc>
        <w:tc>
          <w:tcPr>
            <w:tcW w:w="100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092" w:type="dxa"/>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新购买，处于免检期</w:t>
            </w:r>
          </w:p>
        </w:tc>
        <w:tc>
          <w:tcPr>
            <w:tcW w:w="1104" w:type="dxa"/>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34" w:type="dxa"/>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6</w:t>
            </w:r>
          </w:p>
        </w:tc>
        <w:tc>
          <w:tcPr>
            <w:tcW w:w="1716"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防雷装置</w:t>
            </w:r>
          </w:p>
        </w:tc>
        <w:tc>
          <w:tcPr>
            <w:tcW w:w="876" w:type="dxa"/>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w:t>
            </w:r>
          </w:p>
        </w:tc>
        <w:tc>
          <w:tcPr>
            <w:tcW w:w="176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全部</w:t>
            </w:r>
          </w:p>
        </w:tc>
        <w:tc>
          <w:tcPr>
            <w:tcW w:w="1000"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092"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吉林华云气象科技有限公司</w:t>
            </w:r>
          </w:p>
        </w:tc>
        <w:tc>
          <w:tcPr>
            <w:tcW w:w="1104" w:type="dxa"/>
            <w:noWrap w:val="0"/>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合格，见附件。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34" w:type="dxa"/>
            <w:noWrap w:val="0"/>
            <w:vAlign w:val="center"/>
          </w:tcPr>
          <w:p>
            <w:pPr>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w:t>
            </w:r>
          </w:p>
        </w:tc>
        <w:tc>
          <w:tcPr>
            <w:tcW w:w="1716"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厂内机动车辆</w:t>
            </w:r>
          </w:p>
        </w:tc>
        <w:tc>
          <w:tcPr>
            <w:tcW w:w="876"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764"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全部</w:t>
            </w:r>
          </w:p>
        </w:tc>
        <w:tc>
          <w:tcPr>
            <w:tcW w:w="1000"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2092"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上饶市</w:t>
            </w:r>
            <w:r>
              <w:rPr>
                <w:rFonts w:hint="default" w:ascii="Times New Roman" w:hAnsi="Times New Roman" w:cs="Times New Roman"/>
                <w:sz w:val="21"/>
                <w:szCs w:val="21"/>
              </w:rPr>
              <w:t>特种设备监督检验中心</w:t>
            </w:r>
          </w:p>
        </w:tc>
        <w:tc>
          <w:tcPr>
            <w:tcW w:w="1104"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合格，见附件。</w:t>
            </w:r>
          </w:p>
        </w:tc>
      </w:tr>
    </w:tbl>
    <w:p>
      <w:pPr>
        <w:rPr>
          <w:rFonts w:hint="default" w:ascii="Times New Roman" w:hAnsi="Times New Roman" w:cs="Times New Roman"/>
        </w:rPr>
      </w:pPr>
    </w:p>
    <w:sectPr>
      <w:headerReference r:id="rId11" w:type="default"/>
      <w:footerReference r:id="rId12" w:type="default"/>
      <w:pgSz w:w="11906" w:h="16838"/>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9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Dialog">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altName w:val="黑体"/>
    <w:panose1 w:val="03000509000000000000"/>
    <w:charset w:val="86"/>
    <w:family w:val="script"/>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spacing w:line="300" w:lineRule="exact"/>
    </w:pPr>
    <w:r>
      <w:rPr>
        <w:rFonts w:hint="eastAsia" w:ascii="宋体" w:hAnsi="宋体" w:cs="宋体"/>
      </w:rPr>
      <w:t>江西赣安安全生产科学技术咨询服务中心</w:t>
    </w:r>
    <w:r>
      <w:rPr>
        <w:rFonts w:ascii="宋体" w:hAnsi="宋体" w:cs="宋体"/>
      </w:rPr>
      <w:t xml:space="preserve">            </w:t>
    </w:r>
    <w:r>
      <w:rPr>
        <w:rStyle w:val="31"/>
        <w:rFonts w:ascii="宋体" w:hAnsi="宋体" w:cs="宋体"/>
      </w:rPr>
      <w:fldChar w:fldCharType="begin"/>
    </w:r>
    <w:r>
      <w:rPr>
        <w:rStyle w:val="31"/>
        <w:rFonts w:ascii="宋体" w:hAnsi="宋体" w:cs="宋体"/>
      </w:rPr>
      <w:instrText xml:space="preserve"> PAGE </w:instrText>
    </w:r>
    <w:r>
      <w:rPr>
        <w:rStyle w:val="31"/>
        <w:rFonts w:ascii="宋体" w:hAnsi="宋体" w:cs="宋体"/>
      </w:rPr>
      <w:fldChar w:fldCharType="separate"/>
    </w:r>
    <w:r>
      <w:rPr>
        <w:rStyle w:val="31"/>
        <w:rFonts w:ascii="宋体" w:hAnsi="宋体" w:cs="宋体"/>
      </w:rPr>
      <w:t>IX</w:t>
    </w:r>
    <w:r>
      <w:rPr>
        <w:rStyle w:val="31"/>
        <w:rFonts w:ascii="宋体" w:hAnsi="宋体" w:cs="宋体"/>
      </w:rPr>
      <w:fldChar w:fldCharType="end"/>
    </w:r>
    <w:r>
      <w:rPr>
        <w:rStyle w:val="31"/>
        <w:rFonts w:ascii="宋体" w:hAnsi="宋体" w:cs="宋体"/>
      </w:rPr>
      <w:t xml:space="preserve">  </w:t>
    </w:r>
    <w:r>
      <w:rPr>
        <w:rFonts w:ascii="宋体" w:hAnsi="宋体" w:cs="宋体"/>
      </w:rPr>
      <w:t xml:space="preserve">                                   APJ-(</w:t>
    </w:r>
    <w:r>
      <w:rPr>
        <w:rFonts w:hint="eastAsia" w:ascii="宋体" w:hAnsi="宋体" w:cs="宋体"/>
      </w:rPr>
      <w:t>赣</w:t>
    </w:r>
    <w:r>
      <w:rPr>
        <w:rFonts w:ascii="宋体" w:hAnsi="宋体" w:cs="宋体"/>
      </w:rPr>
      <w:t>)002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0"/>
      </w:pBdr>
      <w:spacing w:line="300" w:lineRule="exact"/>
    </w:pPr>
    <w:r>
      <w:rPr>
        <w:rFonts w:hint="eastAsia" w:ascii="宋体" w:hAnsi="宋体" w:cs="宋体"/>
      </w:rPr>
      <w:t>江西赣安安全生产科学技术咨询服务中心</w:t>
    </w:r>
    <w:r>
      <w:rPr>
        <w:rFonts w:ascii="宋体" w:hAnsi="宋体" w:cs="宋体"/>
      </w:rPr>
      <w:t xml:space="preserve">              </w:t>
    </w:r>
    <w:r>
      <w:rPr>
        <w:rStyle w:val="31"/>
      </w:rPr>
      <w:fldChar w:fldCharType="begin"/>
    </w:r>
    <w:r>
      <w:rPr>
        <w:rStyle w:val="31"/>
      </w:rPr>
      <w:instrText xml:space="preserve"> PAGE </w:instrText>
    </w:r>
    <w:r>
      <w:rPr>
        <w:rStyle w:val="31"/>
      </w:rPr>
      <w:fldChar w:fldCharType="separate"/>
    </w:r>
    <w:r>
      <w:rPr>
        <w:rStyle w:val="31"/>
      </w:rPr>
      <w:t>101</w:t>
    </w:r>
    <w:r>
      <w:rPr>
        <w:rStyle w:val="31"/>
      </w:rPr>
      <w:fldChar w:fldCharType="end"/>
    </w:r>
    <w:r>
      <w:rPr>
        <w:rFonts w:ascii="宋体" w:hAnsi="宋体" w:cs="宋体"/>
      </w:rPr>
      <w:t xml:space="preserve">                                </w:t>
    </w:r>
    <w:r>
      <w:rPr>
        <w:rFonts w:hint="eastAsia" w:ascii="宋体" w:hAnsi="宋体" w:cs="宋体"/>
        <w:lang w:val="en-US" w:eastAsia="zh-CN"/>
      </w:rPr>
      <w:t xml:space="preserve">  </w:t>
    </w:r>
    <w:r>
      <w:rPr>
        <w:rFonts w:ascii="宋体" w:hAnsi="宋体" w:cs="宋体"/>
      </w:rPr>
      <w:t xml:space="preserve">   APJ-(</w:t>
    </w:r>
    <w:r>
      <w:rPr>
        <w:rFonts w:hint="eastAsia" w:ascii="宋体" w:hAnsi="宋体" w:cs="宋体"/>
      </w:rPr>
      <w:t>赣</w:t>
    </w:r>
    <w:r>
      <w:rPr>
        <w:rFonts w:ascii="宋体" w:hAnsi="宋体" w:cs="宋体"/>
      </w:rPr>
      <w:t>)002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0"/>
      </w:pBdr>
      <w:spacing w:line="300" w:lineRule="exact"/>
    </w:pPr>
    <w:r>
      <w:rPr>
        <w:rFonts w:hint="eastAsia" w:ascii="宋体" w:hAnsi="宋体" w:cs="宋体"/>
      </w:rPr>
      <w:t>江西赣安安全生产科学技术咨询服务中心</w:t>
    </w:r>
    <w:r>
      <w:rPr>
        <w:rFonts w:ascii="宋体" w:hAnsi="宋体" w:cs="宋体"/>
      </w:rPr>
      <w:t xml:space="preserve">            </w:t>
    </w:r>
    <w:r>
      <w:rPr>
        <w:rStyle w:val="31"/>
        <w:rFonts w:ascii="宋体" w:hAnsi="宋体" w:cs="宋体"/>
      </w:rPr>
      <w:t xml:space="preserve"> </w:t>
    </w:r>
    <w:r>
      <w:rPr>
        <w:rFonts w:ascii="宋体" w:hAnsi="宋体" w:cs="宋体"/>
      </w:rPr>
      <w:t xml:space="preserve">          </w:t>
    </w:r>
    <w:r>
      <w:rPr>
        <w:rStyle w:val="31"/>
      </w:rPr>
      <w:fldChar w:fldCharType="begin"/>
    </w:r>
    <w:r>
      <w:rPr>
        <w:rStyle w:val="31"/>
      </w:rPr>
      <w:instrText xml:space="preserve"> PAGE </w:instrText>
    </w:r>
    <w:r>
      <w:rPr>
        <w:rStyle w:val="31"/>
      </w:rPr>
      <w:fldChar w:fldCharType="separate"/>
    </w:r>
    <w:r>
      <w:rPr>
        <w:rStyle w:val="31"/>
      </w:rPr>
      <w:t>274</w:t>
    </w:r>
    <w:r>
      <w:rPr>
        <w:rStyle w:val="31"/>
      </w:rPr>
      <w:fldChar w:fldCharType="end"/>
    </w:r>
    <w:r>
      <w:rPr>
        <w:rFonts w:ascii="宋体" w:hAnsi="宋体" w:cs="宋体"/>
      </w:rPr>
      <w:t xml:space="preserve">                           APJ-(</w:t>
    </w:r>
    <w:r>
      <w:rPr>
        <w:rFonts w:hint="eastAsia" w:ascii="宋体" w:hAnsi="宋体" w:cs="宋体"/>
      </w:rPr>
      <w:t>赣</w:t>
    </w:r>
    <w:r>
      <w:rPr>
        <w:rFonts w:ascii="宋体" w:hAnsi="宋体" w:cs="宋体"/>
      </w:rPr>
      <w:t>)002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0"/>
      </w:pBdr>
      <w:spacing w:line="300" w:lineRule="exact"/>
    </w:pPr>
    <w:r>
      <w:rPr>
        <w:rFonts w:hint="eastAsia" w:ascii="宋体" w:hAnsi="宋体" w:cs="宋体"/>
      </w:rPr>
      <w:t>江西赣安安全生产科学技术咨询服务中心</w:t>
    </w:r>
    <w:r>
      <w:rPr>
        <w:rFonts w:ascii="宋体" w:hAnsi="宋体" w:cs="宋体"/>
      </w:rPr>
      <w:t xml:space="preserve">            </w:t>
    </w:r>
    <w:r>
      <w:rPr>
        <w:rStyle w:val="31"/>
        <w:rFonts w:ascii="宋体" w:hAnsi="宋体" w:cs="宋体"/>
      </w:rPr>
      <w:t xml:space="preserve"> </w:t>
    </w:r>
    <w:r>
      <w:rPr>
        <w:rFonts w:ascii="宋体" w:hAnsi="宋体" w:cs="宋体"/>
      </w:rPr>
      <w:t xml:space="preserve">          </w:t>
    </w:r>
    <w:r>
      <w:rPr>
        <w:rStyle w:val="31"/>
      </w:rPr>
      <w:fldChar w:fldCharType="begin"/>
    </w:r>
    <w:r>
      <w:rPr>
        <w:rStyle w:val="31"/>
      </w:rPr>
      <w:instrText xml:space="preserve"> PAGE </w:instrText>
    </w:r>
    <w:r>
      <w:rPr>
        <w:rStyle w:val="31"/>
      </w:rPr>
      <w:fldChar w:fldCharType="separate"/>
    </w:r>
    <w:r>
      <w:rPr>
        <w:rStyle w:val="31"/>
      </w:rPr>
      <w:t>274</w:t>
    </w:r>
    <w:r>
      <w:rPr>
        <w:rStyle w:val="31"/>
      </w:rPr>
      <w:fldChar w:fldCharType="end"/>
    </w:r>
    <w:r>
      <w:rPr>
        <w:rFonts w:ascii="宋体" w:hAnsi="宋体" w:cs="宋体"/>
      </w:rPr>
      <w:t xml:space="preserve">                           APJ-(</w:t>
    </w:r>
    <w:r>
      <w:rPr>
        <w:rFonts w:hint="eastAsia" w:ascii="宋体" w:hAnsi="宋体" w:cs="宋体"/>
      </w:rPr>
      <w:t>赣</w:t>
    </w:r>
    <w:r>
      <w:rPr>
        <w:rFonts w:ascii="宋体" w:hAnsi="宋体" w:cs="宋体"/>
      </w:rPr>
      <w:t>)002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none" w:color="auto" w:sz="0" w:space="0"/>
        <w:left w:val="none" w:color="auto" w:sz="0" w:space="0"/>
        <w:bottom w:val="single" w:color="auto" w:sz="4" w:space="1"/>
        <w:right w:val="none" w:color="auto" w:sz="0" w:space="0"/>
      </w:pBdr>
      <w:spacing w:line="300" w:lineRule="exact"/>
      <w:rPr>
        <w:rFonts w:hint="eastAsia" w:eastAsia="宋体"/>
        <w:lang w:eastAsia="zh-CN"/>
      </w:rPr>
    </w:pPr>
    <w:r>
      <w:rPr>
        <w:rFonts w:hint="eastAsia" w:cs="宋体"/>
        <w:lang w:eastAsia="zh-CN"/>
      </w:rPr>
      <w:t>上饶市广氟医药化工有限公司</w:t>
    </w:r>
    <w:r>
      <w:rPr>
        <w:rFonts w:hint="eastAsia" w:cs="宋体"/>
      </w:rPr>
      <w:t>在役生产装置安全现状评价报告</w:t>
    </w:r>
    <w:r>
      <w:t xml:space="preserve"> </w:t>
    </w:r>
    <w:r>
      <w:rPr>
        <w:rFonts w:hint="eastAsia"/>
        <w:lang w:val="en-US" w:eastAsia="zh-CN"/>
      </w:rPr>
      <w:t xml:space="preserve">   </w:t>
    </w:r>
    <w:r>
      <w:t xml:space="preserve">                   </w:t>
    </w:r>
    <w:r>
      <w:rPr>
        <w:rFonts w:hint="eastAsia"/>
        <w:lang w:val="en-US" w:eastAsia="zh-CN"/>
      </w:rPr>
      <w:t xml:space="preserve">     </w:t>
    </w:r>
    <w:r>
      <w:t xml:space="preserve"> GAAP</w:t>
    </w:r>
    <w:r>
      <w:rPr>
        <w:rFonts w:hint="eastAsia"/>
        <w:lang w:eastAsia="zh-CN"/>
      </w:rPr>
      <w:t>[202</w:t>
    </w:r>
    <w:r>
      <w:rPr>
        <w:rFonts w:hint="eastAsia"/>
        <w:lang w:val="en-US" w:eastAsia="zh-CN"/>
      </w:rPr>
      <w:t>3</w:t>
    </w:r>
    <w:r>
      <w:rPr>
        <w:rFonts w:hint="eastAsia"/>
        <w:lang w:eastAsia="zh-CN"/>
      </w:rPr>
      <w:t>]</w:t>
    </w:r>
    <w:r>
      <w:rPr>
        <w:rFonts w:hint="eastAsia"/>
        <w:lang w:val="en-US" w:eastAsia="zh-CN"/>
      </w:rPr>
      <w:t>0342</w:t>
    </w:r>
    <w:r>
      <w:rPr>
        <w:rFonts w:hint="eastAsia"/>
        <w:lang w:eastAsia="zh-CN"/>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none" w:color="auto" w:sz="0" w:space="0"/>
        <w:left w:val="none" w:color="auto" w:sz="0" w:space="0"/>
        <w:bottom w:val="single" w:color="auto" w:sz="4" w:space="1"/>
        <w:right w:val="none" w:color="auto" w:sz="0" w:space="0"/>
      </w:pBdr>
      <w:spacing w:line="300" w:lineRule="exact"/>
      <w:rPr>
        <w:rFonts w:hint="eastAsia" w:eastAsia="宋体"/>
        <w:lang w:eastAsia="zh-CN"/>
      </w:rPr>
    </w:pPr>
    <w:r>
      <w:rPr>
        <w:rFonts w:hint="eastAsia" w:cs="宋体"/>
        <w:lang w:eastAsia="zh-CN"/>
      </w:rPr>
      <w:t>上饶市广氟医药化工有限公司</w:t>
    </w:r>
    <w:r>
      <w:rPr>
        <w:rFonts w:hint="eastAsia" w:cs="宋体"/>
      </w:rPr>
      <w:t>在役生产装置安全现状评价报告</w:t>
    </w:r>
    <w:r>
      <w:t xml:space="preserve">        </w:t>
    </w:r>
    <w:r>
      <w:rPr>
        <w:rFonts w:hint="eastAsia"/>
        <w:lang w:val="en-US" w:eastAsia="zh-CN"/>
      </w:rPr>
      <w:t xml:space="preserve">    </w:t>
    </w:r>
    <w:r>
      <w:t xml:space="preserve">   </w:t>
    </w:r>
    <w:r>
      <w:rPr>
        <w:rFonts w:hint="eastAsia"/>
        <w:lang w:val="en-US" w:eastAsia="zh-CN"/>
      </w:rPr>
      <w:t xml:space="preserve">            </w:t>
    </w:r>
    <w:r>
      <w:t xml:space="preserve">  </w:t>
    </w:r>
    <w:r>
      <w:rPr>
        <w:rFonts w:hint="eastAsia"/>
        <w:lang w:eastAsia="zh-CN"/>
      </w:rPr>
      <w:t>GAAP[2023]</w:t>
    </w:r>
    <w:r>
      <w:rPr>
        <w:rFonts w:hint="eastAsia"/>
        <w:lang w:val="en-US" w:eastAsia="zh-CN"/>
      </w:rPr>
      <w:t>0342</w:t>
    </w:r>
    <w:r>
      <w:rPr>
        <w:rFonts w:hint="eastAsia"/>
        <w:lang w:eastAsia="zh-CN"/>
      </w:rPr>
      <w:t>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none" w:color="auto" w:sz="0" w:space="0"/>
        <w:left w:val="none" w:color="auto" w:sz="0" w:space="0"/>
        <w:bottom w:val="single" w:color="auto" w:sz="4" w:space="1"/>
        <w:right w:val="none" w:color="auto" w:sz="0" w:space="0"/>
      </w:pBdr>
      <w:spacing w:line="300" w:lineRule="exact"/>
      <w:rPr>
        <w:rFonts w:hint="eastAsia" w:eastAsia="宋体"/>
        <w:lang w:eastAsia="zh-CN"/>
      </w:rPr>
    </w:pPr>
    <w:r>
      <w:rPr>
        <w:rFonts w:hint="eastAsia" w:cs="宋体"/>
        <w:lang w:eastAsia="zh-CN"/>
      </w:rPr>
      <w:t>上饶市广氟医药化工有限公司</w:t>
    </w:r>
    <w:r>
      <w:rPr>
        <w:rFonts w:hint="eastAsia" w:cs="宋体"/>
      </w:rPr>
      <w:t>在役生产装置安全现状评价报告</w:t>
    </w:r>
    <w:r>
      <w:t xml:space="preserve">        </w:t>
    </w:r>
    <w:r>
      <w:rPr>
        <w:rFonts w:hint="eastAsia"/>
        <w:lang w:val="en-US" w:eastAsia="zh-CN"/>
      </w:rPr>
      <w:t xml:space="preserve">    </w:t>
    </w:r>
    <w:r>
      <w:t xml:space="preserve">   </w:t>
    </w:r>
    <w:r>
      <w:rPr>
        <w:rFonts w:hint="eastAsia"/>
        <w:lang w:val="en-US" w:eastAsia="zh-CN"/>
      </w:rPr>
      <w:t xml:space="preserve">                                                                   </w:t>
    </w:r>
    <w:r>
      <w:t xml:space="preserve">  </w:t>
    </w:r>
    <w:r>
      <w:rPr>
        <w:rFonts w:hint="eastAsia"/>
        <w:lang w:eastAsia="zh-CN"/>
      </w:rPr>
      <w:t>GAAP[2023]</w:t>
    </w:r>
    <w:r>
      <w:rPr>
        <w:rFonts w:hint="eastAsia"/>
        <w:lang w:val="en-US" w:eastAsia="zh-CN"/>
      </w:rPr>
      <w:t>0342</w:t>
    </w:r>
    <w:r>
      <w:rPr>
        <w:rFonts w:hint="eastAsia"/>
        <w:lang w:eastAsia="zh-CN"/>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none" w:color="auto" w:sz="0" w:space="0"/>
        <w:left w:val="none" w:color="auto" w:sz="0" w:space="0"/>
        <w:bottom w:val="single" w:color="auto" w:sz="4" w:space="1"/>
        <w:right w:val="none" w:color="auto" w:sz="0" w:space="0"/>
      </w:pBdr>
      <w:spacing w:line="300" w:lineRule="exact"/>
      <w:rPr>
        <w:rFonts w:hint="eastAsia" w:eastAsia="宋体"/>
        <w:lang w:eastAsia="zh-CN"/>
      </w:rPr>
    </w:pPr>
    <w:r>
      <w:rPr>
        <w:rFonts w:hint="eastAsia" w:cs="宋体"/>
        <w:lang w:eastAsia="zh-CN"/>
      </w:rPr>
      <w:t>上饶市广氟医药化工有限公司</w:t>
    </w:r>
    <w:r>
      <w:rPr>
        <w:rFonts w:hint="eastAsia" w:cs="宋体"/>
      </w:rPr>
      <w:t>在役生产装置安全现状评价报告</w:t>
    </w:r>
    <w:r>
      <w:t xml:space="preserve">        </w:t>
    </w:r>
    <w:r>
      <w:rPr>
        <w:rFonts w:hint="eastAsia"/>
        <w:lang w:val="en-US" w:eastAsia="zh-CN"/>
      </w:rPr>
      <w:t xml:space="preserve">    </w:t>
    </w:r>
    <w:r>
      <w:t xml:space="preserve">   </w:t>
    </w:r>
    <w:r>
      <w:rPr>
        <w:rFonts w:hint="eastAsia"/>
        <w:lang w:val="en-US" w:eastAsia="zh-CN"/>
      </w:rPr>
      <w:t xml:space="preserve">            </w:t>
    </w:r>
    <w:r>
      <w:t xml:space="preserve">  </w:t>
    </w:r>
    <w:r>
      <w:rPr>
        <w:rFonts w:hint="eastAsia"/>
        <w:lang w:eastAsia="zh-CN"/>
      </w:rPr>
      <w:t>GAAP[2023]</w:t>
    </w:r>
    <w:r>
      <w:rPr>
        <w:rFonts w:hint="eastAsia"/>
        <w:lang w:val="en-US" w:eastAsia="zh-CN"/>
      </w:rPr>
      <w:t>0342</w:t>
    </w:r>
    <w:r>
      <w:rPr>
        <w:rFonts w:hint="eastAsia"/>
        <w:lang w:eastAsia="zh-CN"/>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8C44C8"/>
    <w:multiLevelType w:val="singleLevel"/>
    <w:tmpl w:val="8B8C44C8"/>
    <w:lvl w:ilvl="0" w:tentative="0">
      <w:start w:val="7"/>
      <w:numFmt w:val="decimal"/>
      <w:suff w:val="nothing"/>
      <w:lvlText w:val="%1）"/>
      <w:lvlJc w:val="left"/>
    </w:lvl>
  </w:abstractNum>
  <w:abstractNum w:abstractNumId="1">
    <w:nsid w:val="922DF417"/>
    <w:multiLevelType w:val="multilevel"/>
    <w:tmpl w:val="922DF417"/>
    <w:lvl w:ilvl="0" w:tentative="0">
      <w:start w:val="1"/>
      <w:numFmt w:val="decimal"/>
      <w:lvlText w:val="%1"/>
      <w:lvlJc w:val="center"/>
      <w:pPr>
        <w:tabs>
          <w:tab w:val="left" w:pos="0"/>
        </w:tabs>
        <w:ind w:left="420" w:hanging="420"/>
      </w:pPr>
      <w:rPr>
        <w:rFonts w:hint="eastAsia" w:ascii="宋体" w:hAnsi="宋体" w:eastAsia="宋体"/>
      </w:rPr>
    </w:lvl>
    <w:lvl w:ilvl="1" w:tentative="0">
      <w:start w:val="1"/>
      <w:numFmt w:val="lowerLetter"/>
      <w:lvlText w:val="%2)"/>
      <w:lvlJc w:val="left"/>
      <w:pPr>
        <w:tabs>
          <w:tab w:val="left" w:pos="0"/>
        </w:tabs>
        <w:ind w:left="840" w:hanging="420"/>
      </w:pPr>
      <w:rPr>
        <w:rFonts w:hint="default" w:ascii="Times New Roman" w:hAnsi="Times New Roman" w:cs="Times New Roman"/>
      </w:rPr>
    </w:lvl>
    <w:lvl w:ilvl="2" w:tentative="0">
      <w:start w:val="1"/>
      <w:numFmt w:val="lowerRoman"/>
      <w:lvlText w:val="%3."/>
      <w:lvlJc w:val="right"/>
      <w:pPr>
        <w:tabs>
          <w:tab w:val="left" w:pos="0"/>
        </w:tabs>
        <w:ind w:left="1260" w:hanging="420"/>
      </w:pPr>
      <w:rPr>
        <w:rFonts w:hint="default" w:ascii="Times New Roman" w:hAnsi="Times New Roman" w:cs="Times New Roman"/>
      </w:rPr>
    </w:lvl>
    <w:lvl w:ilvl="3" w:tentative="0">
      <w:start w:val="1"/>
      <w:numFmt w:val="decimal"/>
      <w:lvlText w:val="%4."/>
      <w:lvlJc w:val="left"/>
      <w:pPr>
        <w:tabs>
          <w:tab w:val="left" w:pos="0"/>
        </w:tabs>
        <w:ind w:left="1680" w:hanging="420"/>
      </w:pPr>
      <w:rPr>
        <w:rFonts w:hint="default" w:ascii="Times New Roman" w:hAnsi="Times New Roman" w:cs="Times New Roman"/>
      </w:rPr>
    </w:lvl>
    <w:lvl w:ilvl="4" w:tentative="0">
      <w:start w:val="1"/>
      <w:numFmt w:val="lowerLetter"/>
      <w:lvlText w:val="%5)"/>
      <w:lvlJc w:val="left"/>
      <w:pPr>
        <w:tabs>
          <w:tab w:val="left" w:pos="0"/>
        </w:tabs>
        <w:ind w:left="2100" w:hanging="420"/>
      </w:pPr>
      <w:rPr>
        <w:rFonts w:hint="default" w:ascii="Times New Roman" w:hAnsi="Times New Roman" w:cs="Times New Roman"/>
      </w:rPr>
    </w:lvl>
    <w:lvl w:ilvl="5" w:tentative="0">
      <w:start w:val="1"/>
      <w:numFmt w:val="lowerRoman"/>
      <w:lvlText w:val="%6."/>
      <w:lvlJc w:val="right"/>
      <w:pPr>
        <w:tabs>
          <w:tab w:val="left" w:pos="0"/>
        </w:tabs>
        <w:ind w:left="2520" w:hanging="420"/>
      </w:pPr>
      <w:rPr>
        <w:rFonts w:hint="default" w:ascii="Times New Roman" w:hAnsi="Times New Roman" w:cs="Times New Roman"/>
      </w:rPr>
    </w:lvl>
    <w:lvl w:ilvl="6" w:tentative="0">
      <w:start w:val="1"/>
      <w:numFmt w:val="decimal"/>
      <w:lvlText w:val="%7."/>
      <w:lvlJc w:val="left"/>
      <w:pPr>
        <w:tabs>
          <w:tab w:val="left" w:pos="0"/>
        </w:tabs>
        <w:ind w:left="2940" w:hanging="420"/>
      </w:pPr>
      <w:rPr>
        <w:rFonts w:hint="default" w:ascii="Times New Roman" w:hAnsi="Times New Roman" w:cs="Times New Roman"/>
      </w:rPr>
    </w:lvl>
    <w:lvl w:ilvl="7" w:tentative="0">
      <w:start w:val="1"/>
      <w:numFmt w:val="lowerLetter"/>
      <w:lvlText w:val="%8)"/>
      <w:lvlJc w:val="left"/>
      <w:pPr>
        <w:tabs>
          <w:tab w:val="left" w:pos="0"/>
        </w:tabs>
        <w:ind w:left="3360" w:hanging="420"/>
      </w:pPr>
      <w:rPr>
        <w:rFonts w:hint="default" w:ascii="Times New Roman" w:hAnsi="Times New Roman" w:cs="Times New Roman"/>
      </w:rPr>
    </w:lvl>
    <w:lvl w:ilvl="8" w:tentative="0">
      <w:start w:val="1"/>
      <w:numFmt w:val="lowerRoman"/>
      <w:lvlText w:val="%9."/>
      <w:lvlJc w:val="right"/>
      <w:pPr>
        <w:tabs>
          <w:tab w:val="left" w:pos="0"/>
        </w:tabs>
        <w:ind w:left="3780" w:hanging="420"/>
      </w:pPr>
      <w:rPr>
        <w:rFonts w:hint="default" w:ascii="Times New Roman" w:hAnsi="Times New Roman" w:cs="Times New Roman"/>
      </w:rPr>
    </w:lvl>
  </w:abstractNum>
  <w:abstractNum w:abstractNumId="2">
    <w:nsid w:val="ABF06891"/>
    <w:multiLevelType w:val="singleLevel"/>
    <w:tmpl w:val="ABF06891"/>
    <w:lvl w:ilvl="0" w:tentative="0">
      <w:start w:val="1"/>
      <w:numFmt w:val="decimal"/>
      <w:lvlText w:val="%1."/>
      <w:lvlJc w:val="left"/>
      <w:pPr>
        <w:tabs>
          <w:tab w:val="left" w:pos="312"/>
        </w:tabs>
      </w:pPr>
    </w:lvl>
  </w:abstractNum>
  <w:abstractNum w:abstractNumId="3">
    <w:nsid w:val="AF65D516"/>
    <w:multiLevelType w:val="singleLevel"/>
    <w:tmpl w:val="AF65D516"/>
    <w:lvl w:ilvl="0" w:tentative="0">
      <w:start w:val="1"/>
      <w:numFmt w:val="decimal"/>
      <w:suff w:val="nothing"/>
      <w:lvlText w:val="%1）"/>
      <w:lvlJc w:val="left"/>
    </w:lvl>
  </w:abstractNum>
  <w:abstractNum w:abstractNumId="4">
    <w:nsid w:val="CBFE547B"/>
    <w:multiLevelType w:val="singleLevel"/>
    <w:tmpl w:val="CBFE547B"/>
    <w:lvl w:ilvl="0" w:tentative="0">
      <w:start w:val="1"/>
      <w:numFmt w:val="decimal"/>
      <w:lvlText w:val="%1."/>
      <w:lvlJc w:val="left"/>
      <w:pPr>
        <w:ind w:left="425" w:hanging="425"/>
      </w:pPr>
      <w:rPr>
        <w:rFonts w:hint="default"/>
      </w:rPr>
    </w:lvl>
  </w:abstractNum>
  <w:abstractNum w:abstractNumId="5">
    <w:nsid w:val="D18E86B9"/>
    <w:multiLevelType w:val="singleLevel"/>
    <w:tmpl w:val="D18E86B9"/>
    <w:lvl w:ilvl="0" w:tentative="0">
      <w:start w:val="1"/>
      <w:numFmt w:val="decimal"/>
      <w:suff w:val="nothing"/>
      <w:lvlText w:val="%1、"/>
      <w:lvlJc w:val="left"/>
    </w:lvl>
  </w:abstractNum>
  <w:abstractNum w:abstractNumId="6">
    <w:nsid w:val="D290588E"/>
    <w:multiLevelType w:val="singleLevel"/>
    <w:tmpl w:val="D290588E"/>
    <w:lvl w:ilvl="0" w:tentative="0">
      <w:start w:val="1"/>
      <w:numFmt w:val="decimal"/>
      <w:suff w:val="nothing"/>
      <w:lvlText w:val="（%1）"/>
      <w:lvlJc w:val="left"/>
    </w:lvl>
  </w:abstractNum>
  <w:abstractNum w:abstractNumId="7">
    <w:nsid w:val="E75C7C3D"/>
    <w:multiLevelType w:val="singleLevel"/>
    <w:tmpl w:val="E75C7C3D"/>
    <w:lvl w:ilvl="0" w:tentative="0">
      <w:start w:val="1"/>
      <w:numFmt w:val="decimal"/>
      <w:lvlText w:val="%1."/>
      <w:lvlJc w:val="left"/>
      <w:pPr>
        <w:ind w:left="425" w:hanging="425"/>
      </w:pPr>
      <w:rPr>
        <w:rFonts w:hint="default"/>
      </w:rPr>
    </w:lvl>
  </w:abstractNum>
  <w:abstractNum w:abstractNumId="8">
    <w:nsid w:val="ED7DABE2"/>
    <w:multiLevelType w:val="singleLevel"/>
    <w:tmpl w:val="ED7DABE2"/>
    <w:lvl w:ilvl="0" w:tentative="0">
      <w:start w:val="1"/>
      <w:numFmt w:val="decimal"/>
      <w:lvlText w:val="%1."/>
      <w:lvlJc w:val="left"/>
      <w:pPr>
        <w:ind w:left="425" w:hanging="425"/>
      </w:pPr>
      <w:rPr>
        <w:rFonts w:hint="default"/>
      </w:rPr>
    </w:lvl>
  </w:abstractNum>
  <w:abstractNum w:abstractNumId="9">
    <w:nsid w:val="F5D9D02A"/>
    <w:multiLevelType w:val="singleLevel"/>
    <w:tmpl w:val="F5D9D02A"/>
    <w:lvl w:ilvl="0" w:tentative="0">
      <w:start w:val="2"/>
      <w:numFmt w:val="decimal"/>
      <w:lvlText w:val="%1."/>
      <w:lvlJc w:val="left"/>
      <w:pPr>
        <w:tabs>
          <w:tab w:val="left" w:pos="312"/>
        </w:tabs>
      </w:pPr>
    </w:lvl>
  </w:abstractNum>
  <w:abstractNum w:abstractNumId="10">
    <w:nsid w:val="FD7ECF2A"/>
    <w:multiLevelType w:val="singleLevel"/>
    <w:tmpl w:val="FD7ECF2A"/>
    <w:lvl w:ilvl="0" w:tentative="0">
      <w:start w:val="1"/>
      <w:numFmt w:val="decimal"/>
      <w:suff w:val="nothing"/>
      <w:lvlText w:val="%1．"/>
      <w:lvlJc w:val="left"/>
      <w:pPr>
        <w:ind w:firstLine="400"/>
      </w:pPr>
      <w:rPr>
        <w:rFonts w:hint="default"/>
      </w:rPr>
    </w:lvl>
  </w:abstractNum>
  <w:abstractNum w:abstractNumId="11">
    <w:nsid w:val="00346657"/>
    <w:multiLevelType w:val="singleLevel"/>
    <w:tmpl w:val="00346657"/>
    <w:lvl w:ilvl="0" w:tentative="0">
      <w:start w:val="1"/>
      <w:numFmt w:val="decimal"/>
      <w:lvlText w:val="%1)"/>
      <w:lvlJc w:val="left"/>
      <w:pPr>
        <w:ind w:left="425" w:hanging="425"/>
      </w:pPr>
      <w:rPr>
        <w:rFonts w:hint="default"/>
      </w:rPr>
    </w:lvl>
  </w:abstractNum>
  <w:abstractNum w:abstractNumId="12">
    <w:nsid w:val="090E0EB0"/>
    <w:multiLevelType w:val="multilevel"/>
    <w:tmpl w:val="090E0EB0"/>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9CD24DD"/>
    <w:multiLevelType w:val="multilevel"/>
    <w:tmpl w:val="09CD24DD"/>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16EF07DD"/>
    <w:multiLevelType w:val="multilevel"/>
    <w:tmpl w:val="16EF07DD"/>
    <w:lvl w:ilvl="0" w:tentative="0">
      <w:start w:val="1"/>
      <w:numFmt w:val="decimal"/>
      <w:lvlText w:val="%1."/>
      <w:lvlJc w:val="left"/>
      <w:pPr>
        <w:tabs>
          <w:tab w:val="left" w:pos="562"/>
        </w:tabs>
        <w:ind w:left="562"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1F0946F1"/>
    <w:multiLevelType w:val="multilevel"/>
    <w:tmpl w:val="1F0946F1"/>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1FEE2E3C"/>
    <w:multiLevelType w:val="multilevel"/>
    <w:tmpl w:val="1FEE2E3C"/>
    <w:lvl w:ilvl="0" w:tentative="0">
      <w:start w:val="1"/>
      <w:numFmt w:val="decimal"/>
      <w:lvlText w:val="%1"/>
      <w:lvlJc w:val="center"/>
      <w:pPr>
        <w:tabs>
          <w:tab w:val="left" w:pos="146"/>
        </w:tabs>
        <w:ind w:left="146" w:hanging="146"/>
      </w:pPr>
      <w:rPr>
        <w:rFonts w:hint="default" w:ascii="Times New Roman" w:hAnsi="Times New Roman" w:eastAsia="宋体"/>
        <w:b w:val="0"/>
        <w:i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32735219"/>
    <w:multiLevelType w:val="singleLevel"/>
    <w:tmpl w:val="32735219"/>
    <w:lvl w:ilvl="0" w:tentative="0">
      <w:start w:val="1"/>
      <w:numFmt w:val="decimal"/>
      <w:lvlText w:val="%1."/>
      <w:lvlJc w:val="left"/>
      <w:pPr>
        <w:ind w:left="425" w:hanging="425"/>
      </w:pPr>
      <w:rPr>
        <w:rFonts w:hint="default"/>
      </w:rPr>
    </w:lvl>
  </w:abstractNum>
  <w:abstractNum w:abstractNumId="18">
    <w:nsid w:val="360778DA"/>
    <w:multiLevelType w:val="multilevel"/>
    <w:tmpl w:val="360778D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375C3975"/>
    <w:multiLevelType w:val="singleLevel"/>
    <w:tmpl w:val="375C3975"/>
    <w:lvl w:ilvl="0" w:tentative="0">
      <w:start w:val="1"/>
      <w:numFmt w:val="decimal"/>
      <w:suff w:val="nothing"/>
      <w:lvlText w:val="%1、"/>
      <w:lvlJc w:val="left"/>
    </w:lvl>
  </w:abstractNum>
  <w:abstractNum w:abstractNumId="20">
    <w:nsid w:val="3D4F157F"/>
    <w:multiLevelType w:val="singleLevel"/>
    <w:tmpl w:val="3D4F157F"/>
    <w:lvl w:ilvl="0" w:tentative="0">
      <w:start w:val="1"/>
      <w:numFmt w:val="chineseCounting"/>
      <w:suff w:val="nothing"/>
      <w:lvlText w:val="%1、"/>
      <w:lvlJc w:val="left"/>
      <w:rPr>
        <w:rFonts w:hint="eastAsia"/>
      </w:rPr>
    </w:lvl>
  </w:abstractNum>
  <w:abstractNum w:abstractNumId="21">
    <w:nsid w:val="417B3BF3"/>
    <w:multiLevelType w:val="multilevel"/>
    <w:tmpl w:val="417B3BF3"/>
    <w:lvl w:ilvl="0" w:tentative="0">
      <w:start w:val="1"/>
      <w:numFmt w:val="decimal"/>
      <w:lvlText w:val="%1"/>
      <w:lvlJc w:val="center"/>
      <w:pPr>
        <w:tabs>
          <w:tab w:val="left" w:pos="132"/>
        </w:tabs>
      </w:pPr>
      <w:rPr>
        <w:rFonts w:hint="eastAsia"/>
      </w:rPr>
    </w:lvl>
    <w:lvl w:ilvl="1" w:tentative="0">
      <w:start w:val="1"/>
      <w:numFmt w:val="lowerLetter"/>
      <w:lvlText w:val="%2)"/>
      <w:lvlJc w:val="left"/>
      <w:pPr>
        <w:tabs>
          <w:tab w:val="left" w:pos="700"/>
        </w:tabs>
        <w:ind w:left="700" w:hanging="420"/>
      </w:pPr>
    </w:lvl>
    <w:lvl w:ilvl="2" w:tentative="0">
      <w:start w:val="1"/>
      <w:numFmt w:val="lowerRoman"/>
      <w:lvlText w:val="%3."/>
      <w:lvlJc w:val="right"/>
      <w:pPr>
        <w:tabs>
          <w:tab w:val="left" w:pos="1120"/>
        </w:tabs>
        <w:ind w:left="1120" w:hanging="420"/>
      </w:pPr>
    </w:lvl>
    <w:lvl w:ilvl="3" w:tentative="0">
      <w:start w:val="1"/>
      <w:numFmt w:val="decimal"/>
      <w:lvlText w:val="%4."/>
      <w:lvlJc w:val="left"/>
      <w:pPr>
        <w:tabs>
          <w:tab w:val="left" w:pos="1540"/>
        </w:tabs>
        <w:ind w:left="1540" w:hanging="420"/>
      </w:pPr>
    </w:lvl>
    <w:lvl w:ilvl="4" w:tentative="0">
      <w:start w:val="1"/>
      <w:numFmt w:val="lowerLetter"/>
      <w:lvlText w:val="%5)"/>
      <w:lvlJc w:val="left"/>
      <w:pPr>
        <w:tabs>
          <w:tab w:val="left" w:pos="1960"/>
        </w:tabs>
        <w:ind w:left="1960" w:hanging="420"/>
      </w:pPr>
    </w:lvl>
    <w:lvl w:ilvl="5" w:tentative="0">
      <w:start w:val="1"/>
      <w:numFmt w:val="lowerRoman"/>
      <w:lvlText w:val="%6."/>
      <w:lvlJc w:val="right"/>
      <w:pPr>
        <w:tabs>
          <w:tab w:val="left" w:pos="2380"/>
        </w:tabs>
        <w:ind w:left="2380" w:hanging="420"/>
      </w:pPr>
    </w:lvl>
    <w:lvl w:ilvl="6" w:tentative="0">
      <w:start w:val="1"/>
      <w:numFmt w:val="decimal"/>
      <w:lvlText w:val="%7."/>
      <w:lvlJc w:val="left"/>
      <w:pPr>
        <w:tabs>
          <w:tab w:val="left" w:pos="2800"/>
        </w:tabs>
        <w:ind w:left="2800" w:hanging="420"/>
      </w:pPr>
    </w:lvl>
    <w:lvl w:ilvl="7" w:tentative="0">
      <w:start w:val="1"/>
      <w:numFmt w:val="lowerLetter"/>
      <w:lvlText w:val="%8)"/>
      <w:lvlJc w:val="left"/>
      <w:pPr>
        <w:tabs>
          <w:tab w:val="left" w:pos="3220"/>
        </w:tabs>
        <w:ind w:left="3220" w:hanging="420"/>
      </w:pPr>
    </w:lvl>
    <w:lvl w:ilvl="8" w:tentative="0">
      <w:start w:val="1"/>
      <w:numFmt w:val="lowerRoman"/>
      <w:lvlText w:val="%9."/>
      <w:lvlJc w:val="right"/>
      <w:pPr>
        <w:tabs>
          <w:tab w:val="left" w:pos="3640"/>
        </w:tabs>
        <w:ind w:left="3640" w:hanging="420"/>
      </w:pPr>
    </w:lvl>
  </w:abstractNum>
  <w:abstractNum w:abstractNumId="22">
    <w:nsid w:val="419813C3"/>
    <w:multiLevelType w:val="singleLevel"/>
    <w:tmpl w:val="419813C3"/>
    <w:lvl w:ilvl="0" w:tentative="0">
      <w:start w:val="1"/>
      <w:numFmt w:val="decimal"/>
      <w:lvlText w:val="%1."/>
      <w:lvlJc w:val="left"/>
      <w:pPr>
        <w:tabs>
          <w:tab w:val="left" w:pos="312"/>
        </w:tabs>
      </w:pPr>
    </w:lvl>
  </w:abstractNum>
  <w:abstractNum w:abstractNumId="23">
    <w:nsid w:val="44035AAD"/>
    <w:multiLevelType w:val="singleLevel"/>
    <w:tmpl w:val="44035AAD"/>
    <w:lvl w:ilvl="0" w:tentative="0">
      <w:start w:val="3"/>
      <w:numFmt w:val="decimal"/>
      <w:suff w:val="nothing"/>
      <w:lvlText w:val="%1）"/>
      <w:lvlJc w:val="left"/>
    </w:lvl>
  </w:abstractNum>
  <w:abstractNum w:abstractNumId="24">
    <w:nsid w:val="53E4BC19"/>
    <w:multiLevelType w:val="singleLevel"/>
    <w:tmpl w:val="53E4BC19"/>
    <w:lvl w:ilvl="0" w:tentative="0">
      <w:start w:val="1"/>
      <w:numFmt w:val="bullet"/>
      <w:pStyle w:val="8"/>
      <w:lvlText w:val=""/>
      <w:lvlJc w:val="left"/>
      <w:pPr>
        <w:tabs>
          <w:tab w:val="left" w:pos="360"/>
        </w:tabs>
        <w:ind w:left="360" w:hanging="360"/>
      </w:pPr>
      <w:rPr>
        <w:rFonts w:hint="default" w:ascii="Wingdings" w:hAnsi="Wingdings"/>
      </w:rPr>
    </w:lvl>
  </w:abstractNum>
  <w:abstractNum w:abstractNumId="25">
    <w:nsid w:val="54D36C32"/>
    <w:multiLevelType w:val="multilevel"/>
    <w:tmpl w:val="54D36C3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5D93084F"/>
    <w:multiLevelType w:val="multilevel"/>
    <w:tmpl w:val="5D93084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2071A87"/>
    <w:multiLevelType w:val="singleLevel"/>
    <w:tmpl w:val="62071A87"/>
    <w:lvl w:ilvl="0" w:tentative="0">
      <w:start w:val="1"/>
      <w:numFmt w:val="decimal"/>
      <w:lvlText w:val="%1."/>
      <w:lvlJc w:val="left"/>
      <w:pPr>
        <w:ind w:left="425" w:hanging="425"/>
      </w:pPr>
      <w:rPr>
        <w:rFonts w:hint="default"/>
      </w:rPr>
    </w:lvl>
  </w:abstractNum>
  <w:abstractNum w:abstractNumId="28">
    <w:nsid w:val="68041FB8"/>
    <w:multiLevelType w:val="multilevel"/>
    <w:tmpl w:val="68041FB8"/>
    <w:lvl w:ilvl="0" w:tentative="0">
      <w:start w:val="1"/>
      <w:numFmt w:val="decimal"/>
      <w:lvlText w:val="%1"/>
      <w:lvlJc w:val="center"/>
      <w:pPr>
        <w:tabs>
          <w:tab w:val="left" w:pos="146"/>
        </w:tabs>
        <w:ind w:left="146" w:hanging="146"/>
      </w:pPr>
      <w:rPr>
        <w:rFonts w:hint="default" w:ascii="Times New Roman" w:hAnsi="Times New Roman" w:eastAsia="宋体"/>
        <w:b w:val="0"/>
        <w:i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6C651D57"/>
    <w:multiLevelType w:val="multilevel"/>
    <w:tmpl w:val="6C651D57"/>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6CBC5E29"/>
    <w:multiLevelType w:val="singleLevel"/>
    <w:tmpl w:val="6CBC5E29"/>
    <w:lvl w:ilvl="0" w:tentative="0">
      <w:start w:val="1"/>
      <w:numFmt w:val="decimal"/>
      <w:suff w:val="nothing"/>
      <w:lvlText w:val="%1、"/>
      <w:lvlJc w:val="left"/>
    </w:lvl>
  </w:abstractNum>
  <w:abstractNum w:abstractNumId="31">
    <w:nsid w:val="6EED2C33"/>
    <w:multiLevelType w:val="singleLevel"/>
    <w:tmpl w:val="6EED2C33"/>
    <w:lvl w:ilvl="0" w:tentative="0">
      <w:start w:val="1"/>
      <w:numFmt w:val="decimal"/>
      <w:suff w:val="nothing"/>
      <w:lvlText w:val="%1、"/>
      <w:lvlJc w:val="left"/>
    </w:lvl>
  </w:abstractNum>
  <w:abstractNum w:abstractNumId="32">
    <w:nsid w:val="79626B6A"/>
    <w:multiLevelType w:val="multilevel"/>
    <w:tmpl w:val="79626B6A"/>
    <w:lvl w:ilvl="0" w:tentative="0">
      <w:start w:val="1"/>
      <w:numFmt w:val="decimal"/>
      <w:lvlText w:val="%1"/>
      <w:lvlJc w:val="left"/>
      <w:pPr>
        <w:tabs>
          <w:tab w:val="left" w:pos="0"/>
        </w:tabs>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7A648F73"/>
    <w:multiLevelType w:val="singleLevel"/>
    <w:tmpl w:val="7A648F73"/>
    <w:lvl w:ilvl="0" w:tentative="0">
      <w:start w:val="1"/>
      <w:numFmt w:val="decimal"/>
      <w:suff w:val="nothing"/>
      <w:lvlText w:val="%1、"/>
      <w:lvlJc w:val="left"/>
    </w:lvl>
  </w:abstractNum>
  <w:abstractNum w:abstractNumId="34">
    <w:nsid w:val="7D242A52"/>
    <w:multiLevelType w:val="multilevel"/>
    <w:tmpl w:val="7D242A52"/>
    <w:lvl w:ilvl="0" w:tentative="0">
      <w:start w:val="1"/>
      <w:numFmt w:val="decimal"/>
      <w:lvlText w:val="%1"/>
      <w:lvlJc w:val="left"/>
      <w:pPr>
        <w:ind w:left="425" w:hanging="425"/>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4"/>
  </w:num>
  <w:num w:numId="2">
    <w:abstractNumId w:val="27"/>
  </w:num>
  <w:num w:numId="3">
    <w:abstractNumId w:val="10"/>
  </w:num>
  <w:num w:numId="4">
    <w:abstractNumId w:val="9"/>
  </w:num>
  <w:num w:numId="5">
    <w:abstractNumId w:val="6"/>
  </w:num>
  <w:num w:numId="6">
    <w:abstractNumId w:val="20"/>
  </w:num>
  <w:num w:numId="7">
    <w:abstractNumId w:val="3"/>
  </w:num>
  <w:num w:numId="8">
    <w:abstractNumId w:val="0"/>
  </w:num>
  <w:num w:numId="9">
    <w:abstractNumId w:val="4"/>
  </w:num>
  <w:num w:numId="10">
    <w:abstractNumId w:val="5"/>
  </w:num>
  <w:num w:numId="11">
    <w:abstractNumId w:val="31"/>
  </w:num>
  <w:num w:numId="12">
    <w:abstractNumId w:val="19"/>
  </w:num>
  <w:num w:numId="13">
    <w:abstractNumId w:val="28"/>
  </w:num>
  <w:num w:numId="14">
    <w:abstractNumId w:val="11"/>
  </w:num>
  <w:num w:numId="15">
    <w:abstractNumId w:val="16"/>
  </w:num>
  <w:num w:numId="16">
    <w:abstractNumId w:val="30"/>
  </w:num>
  <w:num w:numId="17">
    <w:abstractNumId w:val="17"/>
  </w:num>
  <w:num w:numId="18">
    <w:abstractNumId w:val="1"/>
  </w:num>
  <w:num w:numId="19">
    <w:abstractNumId w:val="12"/>
  </w:num>
  <w:num w:numId="20">
    <w:abstractNumId w:val="2"/>
  </w:num>
  <w:num w:numId="21">
    <w:abstractNumId w:val="15"/>
  </w:num>
  <w:num w:numId="22">
    <w:abstractNumId w:val="13"/>
  </w:num>
  <w:num w:numId="23">
    <w:abstractNumId w:val="33"/>
  </w:num>
  <w:num w:numId="24">
    <w:abstractNumId w:val="23"/>
  </w:num>
  <w:num w:numId="25">
    <w:abstractNumId w:val="22"/>
  </w:num>
  <w:num w:numId="26">
    <w:abstractNumId w:val="25"/>
  </w:num>
  <w:num w:numId="27">
    <w:abstractNumId w:val="26"/>
  </w:num>
  <w:num w:numId="28">
    <w:abstractNumId w:val="7"/>
  </w:num>
  <w:num w:numId="29">
    <w:abstractNumId w:val="8"/>
  </w:num>
  <w:num w:numId="30">
    <w:abstractNumId w:val="21"/>
  </w:num>
  <w:num w:numId="31">
    <w:abstractNumId w:val="29"/>
  </w:num>
  <w:num w:numId="32">
    <w:abstractNumId w:val="34"/>
  </w:num>
  <w:num w:numId="33">
    <w:abstractNumId w:val="18"/>
  </w:num>
  <w:num w:numId="34">
    <w:abstractNumId w:val="14"/>
  </w:num>
  <w:num w:numId="35">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tpDown">
    <w15:presenceInfo w15:providerId="None" w15:userId="FtpD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9"/>
  <w:embedSystemFonts/>
  <w:bordersDoNotSurroundHeader w:val="0"/>
  <w:bordersDoNotSurroundFooter w:val="0"/>
  <w:hideSpellingErrors/>
  <w:documentProtection w:enforcement="0"/>
  <w:defaultTabStop w:val="420"/>
  <w:doNotHyphenateCaps/>
  <w:drawingGridVerticalSpacing w:val="197"/>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UyYWUxNGNmMmUyZTIxY2FmM2YyMWFiMjM3Y2U3MzAifQ=="/>
  </w:docVars>
  <w:rsids>
    <w:rsidRoot w:val="00444CC8"/>
    <w:rsid w:val="000A2AA3"/>
    <w:rsid w:val="000B4417"/>
    <w:rsid w:val="000B6888"/>
    <w:rsid w:val="000C024B"/>
    <w:rsid w:val="000C3B4C"/>
    <w:rsid w:val="000C603D"/>
    <w:rsid w:val="000D54AC"/>
    <w:rsid w:val="001138A9"/>
    <w:rsid w:val="001231BE"/>
    <w:rsid w:val="00185A63"/>
    <w:rsid w:val="00226389"/>
    <w:rsid w:val="002655C7"/>
    <w:rsid w:val="00280F3A"/>
    <w:rsid w:val="002A66CA"/>
    <w:rsid w:val="002C5001"/>
    <w:rsid w:val="002F7670"/>
    <w:rsid w:val="0030224F"/>
    <w:rsid w:val="003B718F"/>
    <w:rsid w:val="0040660E"/>
    <w:rsid w:val="00441AE5"/>
    <w:rsid w:val="00444CC8"/>
    <w:rsid w:val="004A1DE8"/>
    <w:rsid w:val="004C3888"/>
    <w:rsid w:val="004E7D97"/>
    <w:rsid w:val="004F4659"/>
    <w:rsid w:val="005A0F58"/>
    <w:rsid w:val="005B0396"/>
    <w:rsid w:val="005C4923"/>
    <w:rsid w:val="005D4DA2"/>
    <w:rsid w:val="005E1AFB"/>
    <w:rsid w:val="00620ADB"/>
    <w:rsid w:val="006B5153"/>
    <w:rsid w:val="00744C64"/>
    <w:rsid w:val="007500B0"/>
    <w:rsid w:val="007918E5"/>
    <w:rsid w:val="007F6667"/>
    <w:rsid w:val="00800AC1"/>
    <w:rsid w:val="0080197E"/>
    <w:rsid w:val="00851156"/>
    <w:rsid w:val="008767AF"/>
    <w:rsid w:val="008C1347"/>
    <w:rsid w:val="008D1B2F"/>
    <w:rsid w:val="008F2185"/>
    <w:rsid w:val="009E0DF4"/>
    <w:rsid w:val="009F62F9"/>
    <w:rsid w:val="00A0024A"/>
    <w:rsid w:val="00A024A0"/>
    <w:rsid w:val="00A65E4F"/>
    <w:rsid w:val="00A85E31"/>
    <w:rsid w:val="00A90DA3"/>
    <w:rsid w:val="00AB0FD3"/>
    <w:rsid w:val="00BF2B08"/>
    <w:rsid w:val="00C011B5"/>
    <w:rsid w:val="00C34515"/>
    <w:rsid w:val="00C45542"/>
    <w:rsid w:val="00C47528"/>
    <w:rsid w:val="00C92F31"/>
    <w:rsid w:val="00D0464D"/>
    <w:rsid w:val="00D30408"/>
    <w:rsid w:val="00D427A7"/>
    <w:rsid w:val="00D53538"/>
    <w:rsid w:val="00D9334B"/>
    <w:rsid w:val="00DB1442"/>
    <w:rsid w:val="00DE37B2"/>
    <w:rsid w:val="00DF2C54"/>
    <w:rsid w:val="00E03DC8"/>
    <w:rsid w:val="00E15A4F"/>
    <w:rsid w:val="00E71BEF"/>
    <w:rsid w:val="00E96375"/>
    <w:rsid w:val="00F01AF1"/>
    <w:rsid w:val="00F10CE3"/>
    <w:rsid w:val="00F14973"/>
    <w:rsid w:val="00F22ADC"/>
    <w:rsid w:val="00F866AF"/>
    <w:rsid w:val="00FA28A8"/>
    <w:rsid w:val="00FD2932"/>
    <w:rsid w:val="00FD63A6"/>
    <w:rsid w:val="01124341"/>
    <w:rsid w:val="01281D68"/>
    <w:rsid w:val="012E0149"/>
    <w:rsid w:val="018D5C96"/>
    <w:rsid w:val="01A15457"/>
    <w:rsid w:val="01DA16FC"/>
    <w:rsid w:val="01EC2A4B"/>
    <w:rsid w:val="01F222B9"/>
    <w:rsid w:val="01F72860"/>
    <w:rsid w:val="02430828"/>
    <w:rsid w:val="02D303F1"/>
    <w:rsid w:val="030D1502"/>
    <w:rsid w:val="0316422E"/>
    <w:rsid w:val="03401CDB"/>
    <w:rsid w:val="036B3147"/>
    <w:rsid w:val="03821B53"/>
    <w:rsid w:val="038A4FDD"/>
    <w:rsid w:val="043942DE"/>
    <w:rsid w:val="04A1741F"/>
    <w:rsid w:val="054C6762"/>
    <w:rsid w:val="055A5EF9"/>
    <w:rsid w:val="05BE6146"/>
    <w:rsid w:val="062A178D"/>
    <w:rsid w:val="06C53667"/>
    <w:rsid w:val="06E7725D"/>
    <w:rsid w:val="06F54315"/>
    <w:rsid w:val="07036758"/>
    <w:rsid w:val="07B73DFB"/>
    <w:rsid w:val="07DB7CB5"/>
    <w:rsid w:val="081A6859"/>
    <w:rsid w:val="08C209C9"/>
    <w:rsid w:val="08D92951"/>
    <w:rsid w:val="09007CB2"/>
    <w:rsid w:val="09530C1F"/>
    <w:rsid w:val="097441D1"/>
    <w:rsid w:val="09A85250"/>
    <w:rsid w:val="09EB262B"/>
    <w:rsid w:val="0A3D71BF"/>
    <w:rsid w:val="0AB9088B"/>
    <w:rsid w:val="0AE932A6"/>
    <w:rsid w:val="0AEB7287"/>
    <w:rsid w:val="0B564D95"/>
    <w:rsid w:val="0B5D7BAD"/>
    <w:rsid w:val="0C2E1401"/>
    <w:rsid w:val="0C33451C"/>
    <w:rsid w:val="0CA72D02"/>
    <w:rsid w:val="0CB24706"/>
    <w:rsid w:val="0D11301F"/>
    <w:rsid w:val="0D284E18"/>
    <w:rsid w:val="0DE23A0C"/>
    <w:rsid w:val="0DE35A5F"/>
    <w:rsid w:val="0EC4430D"/>
    <w:rsid w:val="0EE41E3B"/>
    <w:rsid w:val="0EEC410D"/>
    <w:rsid w:val="0F2858DB"/>
    <w:rsid w:val="0F3865FD"/>
    <w:rsid w:val="0F3E6B22"/>
    <w:rsid w:val="0F5E2E60"/>
    <w:rsid w:val="0F604D66"/>
    <w:rsid w:val="0F784FB3"/>
    <w:rsid w:val="0F9D1E15"/>
    <w:rsid w:val="0FCD3B2A"/>
    <w:rsid w:val="10362618"/>
    <w:rsid w:val="10850FDB"/>
    <w:rsid w:val="10AD121E"/>
    <w:rsid w:val="10D57C47"/>
    <w:rsid w:val="11282FC6"/>
    <w:rsid w:val="11CF1096"/>
    <w:rsid w:val="120A74AF"/>
    <w:rsid w:val="122A2E5C"/>
    <w:rsid w:val="12AC3D09"/>
    <w:rsid w:val="1321578D"/>
    <w:rsid w:val="13323B77"/>
    <w:rsid w:val="14794DDB"/>
    <w:rsid w:val="14A260C1"/>
    <w:rsid w:val="14D62507"/>
    <w:rsid w:val="15025355"/>
    <w:rsid w:val="150D3A9B"/>
    <w:rsid w:val="15A91743"/>
    <w:rsid w:val="16206E14"/>
    <w:rsid w:val="165550A3"/>
    <w:rsid w:val="16641A1D"/>
    <w:rsid w:val="174700FD"/>
    <w:rsid w:val="1791552F"/>
    <w:rsid w:val="1796745F"/>
    <w:rsid w:val="17B578E0"/>
    <w:rsid w:val="17D56A36"/>
    <w:rsid w:val="18446691"/>
    <w:rsid w:val="188A4D1E"/>
    <w:rsid w:val="18AD4687"/>
    <w:rsid w:val="18BA751C"/>
    <w:rsid w:val="193000B2"/>
    <w:rsid w:val="1AE80BA8"/>
    <w:rsid w:val="1C030B1A"/>
    <w:rsid w:val="1C2C1518"/>
    <w:rsid w:val="1C356F07"/>
    <w:rsid w:val="1C9607BE"/>
    <w:rsid w:val="1CB05A1C"/>
    <w:rsid w:val="1CDC4DD5"/>
    <w:rsid w:val="1D267342"/>
    <w:rsid w:val="1D363725"/>
    <w:rsid w:val="1D927BB5"/>
    <w:rsid w:val="1E5A6491"/>
    <w:rsid w:val="1E893DA3"/>
    <w:rsid w:val="1EAB570D"/>
    <w:rsid w:val="1F1F768B"/>
    <w:rsid w:val="1F7A4566"/>
    <w:rsid w:val="1F8B4806"/>
    <w:rsid w:val="1FAC3F0C"/>
    <w:rsid w:val="20100BAC"/>
    <w:rsid w:val="204F6D5E"/>
    <w:rsid w:val="209311DD"/>
    <w:rsid w:val="20CB5D60"/>
    <w:rsid w:val="20CD4AC6"/>
    <w:rsid w:val="20DF4BD7"/>
    <w:rsid w:val="21D60760"/>
    <w:rsid w:val="22684AE8"/>
    <w:rsid w:val="22B62F60"/>
    <w:rsid w:val="22C47B9A"/>
    <w:rsid w:val="22F63C21"/>
    <w:rsid w:val="2308377A"/>
    <w:rsid w:val="231E370F"/>
    <w:rsid w:val="23794F58"/>
    <w:rsid w:val="238B0BBE"/>
    <w:rsid w:val="238E3245"/>
    <w:rsid w:val="239918F4"/>
    <w:rsid w:val="23B92EEF"/>
    <w:rsid w:val="24451AA9"/>
    <w:rsid w:val="24506AFA"/>
    <w:rsid w:val="245D7FA1"/>
    <w:rsid w:val="248E4762"/>
    <w:rsid w:val="24AB028B"/>
    <w:rsid w:val="257644A7"/>
    <w:rsid w:val="259B1552"/>
    <w:rsid w:val="25B91457"/>
    <w:rsid w:val="261B7195"/>
    <w:rsid w:val="266D4A15"/>
    <w:rsid w:val="26A45AEF"/>
    <w:rsid w:val="26F318C5"/>
    <w:rsid w:val="271B47E9"/>
    <w:rsid w:val="2739353D"/>
    <w:rsid w:val="2752404C"/>
    <w:rsid w:val="276D74A8"/>
    <w:rsid w:val="28162CCD"/>
    <w:rsid w:val="2820070C"/>
    <w:rsid w:val="28224F57"/>
    <w:rsid w:val="28274137"/>
    <w:rsid w:val="28E6323D"/>
    <w:rsid w:val="29471643"/>
    <w:rsid w:val="294A6C18"/>
    <w:rsid w:val="295E1F59"/>
    <w:rsid w:val="29777FE4"/>
    <w:rsid w:val="29E95E08"/>
    <w:rsid w:val="2A0276AA"/>
    <w:rsid w:val="2A423D0C"/>
    <w:rsid w:val="2A8333E6"/>
    <w:rsid w:val="2ABF0C52"/>
    <w:rsid w:val="2AC1354C"/>
    <w:rsid w:val="2ACB61AA"/>
    <w:rsid w:val="2B1107EF"/>
    <w:rsid w:val="2BAE4271"/>
    <w:rsid w:val="2BD233C6"/>
    <w:rsid w:val="2CC111FE"/>
    <w:rsid w:val="2CC4358C"/>
    <w:rsid w:val="2CDA2011"/>
    <w:rsid w:val="2D2B4215"/>
    <w:rsid w:val="2D7631FE"/>
    <w:rsid w:val="2DBD0D83"/>
    <w:rsid w:val="2DC8574E"/>
    <w:rsid w:val="2DFF1263"/>
    <w:rsid w:val="2E3144CE"/>
    <w:rsid w:val="2E3B280B"/>
    <w:rsid w:val="2E651E32"/>
    <w:rsid w:val="2E782127"/>
    <w:rsid w:val="2E7F6359"/>
    <w:rsid w:val="2E9C27FC"/>
    <w:rsid w:val="2EBC07F4"/>
    <w:rsid w:val="2F9F02CA"/>
    <w:rsid w:val="2FC21EDD"/>
    <w:rsid w:val="2FED6AEA"/>
    <w:rsid w:val="30E07E4F"/>
    <w:rsid w:val="30F16556"/>
    <w:rsid w:val="310C6DDA"/>
    <w:rsid w:val="31265BB2"/>
    <w:rsid w:val="314667CE"/>
    <w:rsid w:val="315308E0"/>
    <w:rsid w:val="319B512E"/>
    <w:rsid w:val="321150C9"/>
    <w:rsid w:val="32311833"/>
    <w:rsid w:val="32326DEE"/>
    <w:rsid w:val="327B11F3"/>
    <w:rsid w:val="32CC6C95"/>
    <w:rsid w:val="32E72686"/>
    <w:rsid w:val="334B564F"/>
    <w:rsid w:val="337551E2"/>
    <w:rsid w:val="337C2EF9"/>
    <w:rsid w:val="338A52A8"/>
    <w:rsid w:val="34AC0EF4"/>
    <w:rsid w:val="34EA39B0"/>
    <w:rsid w:val="34F1263B"/>
    <w:rsid w:val="351C3EE2"/>
    <w:rsid w:val="35236520"/>
    <w:rsid w:val="35294D73"/>
    <w:rsid w:val="35A1562C"/>
    <w:rsid w:val="35B070E0"/>
    <w:rsid w:val="36065E15"/>
    <w:rsid w:val="36830978"/>
    <w:rsid w:val="36DC2BC4"/>
    <w:rsid w:val="3877514A"/>
    <w:rsid w:val="38B70D20"/>
    <w:rsid w:val="38C9290B"/>
    <w:rsid w:val="38F60894"/>
    <w:rsid w:val="398441E4"/>
    <w:rsid w:val="39CB3DB0"/>
    <w:rsid w:val="39CD451A"/>
    <w:rsid w:val="3A1E49FC"/>
    <w:rsid w:val="3AA03D48"/>
    <w:rsid w:val="3B622D94"/>
    <w:rsid w:val="3BB33327"/>
    <w:rsid w:val="3BEB799F"/>
    <w:rsid w:val="3C5C7CAB"/>
    <w:rsid w:val="3C92596B"/>
    <w:rsid w:val="3D2B748E"/>
    <w:rsid w:val="3D2E6515"/>
    <w:rsid w:val="3D3A7F52"/>
    <w:rsid w:val="3D697B6A"/>
    <w:rsid w:val="3D967835"/>
    <w:rsid w:val="3DAD0471"/>
    <w:rsid w:val="3DB122E7"/>
    <w:rsid w:val="3DE057D1"/>
    <w:rsid w:val="3E4177DA"/>
    <w:rsid w:val="3E53385B"/>
    <w:rsid w:val="3E57004B"/>
    <w:rsid w:val="3E967048"/>
    <w:rsid w:val="3E9E38F1"/>
    <w:rsid w:val="3F551B4E"/>
    <w:rsid w:val="3FCF1DF6"/>
    <w:rsid w:val="400711E6"/>
    <w:rsid w:val="40D9776F"/>
    <w:rsid w:val="4145555F"/>
    <w:rsid w:val="41892AF8"/>
    <w:rsid w:val="418977A4"/>
    <w:rsid w:val="419F05D4"/>
    <w:rsid w:val="41C86C7B"/>
    <w:rsid w:val="424C1B15"/>
    <w:rsid w:val="426D56E3"/>
    <w:rsid w:val="42C33BA2"/>
    <w:rsid w:val="432506FC"/>
    <w:rsid w:val="43500B1E"/>
    <w:rsid w:val="43BE0119"/>
    <w:rsid w:val="43E26B78"/>
    <w:rsid w:val="444045B9"/>
    <w:rsid w:val="446878EB"/>
    <w:rsid w:val="44814FB6"/>
    <w:rsid w:val="44AC25C3"/>
    <w:rsid w:val="44B44E67"/>
    <w:rsid w:val="44C0117F"/>
    <w:rsid w:val="45177C05"/>
    <w:rsid w:val="45290F50"/>
    <w:rsid w:val="453239BC"/>
    <w:rsid w:val="4560539C"/>
    <w:rsid w:val="45745813"/>
    <w:rsid w:val="45886E67"/>
    <w:rsid w:val="46084746"/>
    <w:rsid w:val="46715B8C"/>
    <w:rsid w:val="46A32A5E"/>
    <w:rsid w:val="46CA56AE"/>
    <w:rsid w:val="47086658"/>
    <w:rsid w:val="470C13FA"/>
    <w:rsid w:val="47AA2274"/>
    <w:rsid w:val="484B0824"/>
    <w:rsid w:val="485C012A"/>
    <w:rsid w:val="48631364"/>
    <w:rsid w:val="488B5B36"/>
    <w:rsid w:val="4897523F"/>
    <w:rsid w:val="498F6811"/>
    <w:rsid w:val="4A757BAF"/>
    <w:rsid w:val="4AC95451"/>
    <w:rsid w:val="4B36228A"/>
    <w:rsid w:val="4C1E706B"/>
    <w:rsid w:val="4C5F16BE"/>
    <w:rsid w:val="4C812411"/>
    <w:rsid w:val="4C894D13"/>
    <w:rsid w:val="4CC65B40"/>
    <w:rsid w:val="4D046515"/>
    <w:rsid w:val="4D491C81"/>
    <w:rsid w:val="4E1B288C"/>
    <w:rsid w:val="4E851DAF"/>
    <w:rsid w:val="4ECE2868"/>
    <w:rsid w:val="4ED27F7E"/>
    <w:rsid w:val="4EE06CE7"/>
    <w:rsid w:val="4EF563FD"/>
    <w:rsid w:val="4F5F21E8"/>
    <w:rsid w:val="502A7709"/>
    <w:rsid w:val="502C4C13"/>
    <w:rsid w:val="50D77FE8"/>
    <w:rsid w:val="51966A63"/>
    <w:rsid w:val="521F36EF"/>
    <w:rsid w:val="522C5F16"/>
    <w:rsid w:val="5238305D"/>
    <w:rsid w:val="525138E6"/>
    <w:rsid w:val="52FD6186"/>
    <w:rsid w:val="53366016"/>
    <w:rsid w:val="53813A41"/>
    <w:rsid w:val="53DC45F3"/>
    <w:rsid w:val="54331D6E"/>
    <w:rsid w:val="548E6810"/>
    <w:rsid w:val="55417B48"/>
    <w:rsid w:val="55837182"/>
    <w:rsid w:val="55E02F53"/>
    <w:rsid w:val="565276F5"/>
    <w:rsid w:val="566E21EF"/>
    <w:rsid w:val="568F0122"/>
    <w:rsid w:val="56B46CFC"/>
    <w:rsid w:val="56D12F99"/>
    <w:rsid w:val="56ED12F4"/>
    <w:rsid w:val="57227701"/>
    <w:rsid w:val="57351A35"/>
    <w:rsid w:val="57D7501D"/>
    <w:rsid w:val="58272ED9"/>
    <w:rsid w:val="58A010B6"/>
    <w:rsid w:val="58E93391"/>
    <w:rsid w:val="58F05526"/>
    <w:rsid w:val="590C65DD"/>
    <w:rsid w:val="594C5B3E"/>
    <w:rsid w:val="598A640E"/>
    <w:rsid w:val="59917917"/>
    <w:rsid w:val="59FF5663"/>
    <w:rsid w:val="5A0E1C5E"/>
    <w:rsid w:val="5A175582"/>
    <w:rsid w:val="5A4E0EC4"/>
    <w:rsid w:val="5A810ED4"/>
    <w:rsid w:val="5AA16F44"/>
    <w:rsid w:val="5B0B6F8E"/>
    <w:rsid w:val="5B1169EE"/>
    <w:rsid w:val="5B2B75CE"/>
    <w:rsid w:val="5B6970F0"/>
    <w:rsid w:val="5B750A6B"/>
    <w:rsid w:val="5BFF5C5E"/>
    <w:rsid w:val="5CDA6D2F"/>
    <w:rsid w:val="5D4556C8"/>
    <w:rsid w:val="5D8863DA"/>
    <w:rsid w:val="5E1120D4"/>
    <w:rsid w:val="5E3A3541"/>
    <w:rsid w:val="5E4B5FAF"/>
    <w:rsid w:val="5E4D0F70"/>
    <w:rsid w:val="5EA94873"/>
    <w:rsid w:val="5ED26E6A"/>
    <w:rsid w:val="5EDC4ABC"/>
    <w:rsid w:val="5F6E7A74"/>
    <w:rsid w:val="5FC0157E"/>
    <w:rsid w:val="5FED72B6"/>
    <w:rsid w:val="603930DA"/>
    <w:rsid w:val="60E73B51"/>
    <w:rsid w:val="60F155DF"/>
    <w:rsid w:val="612122AE"/>
    <w:rsid w:val="61414D92"/>
    <w:rsid w:val="618C7408"/>
    <w:rsid w:val="61B7564F"/>
    <w:rsid w:val="621512E7"/>
    <w:rsid w:val="62572F68"/>
    <w:rsid w:val="62623E05"/>
    <w:rsid w:val="62C70E67"/>
    <w:rsid w:val="630F10F4"/>
    <w:rsid w:val="63182677"/>
    <w:rsid w:val="6373550B"/>
    <w:rsid w:val="638F0D5B"/>
    <w:rsid w:val="639240F1"/>
    <w:rsid w:val="63F00FC9"/>
    <w:rsid w:val="640B0355"/>
    <w:rsid w:val="64143765"/>
    <w:rsid w:val="644A1EA3"/>
    <w:rsid w:val="64612D8A"/>
    <w:rsid w:val="64746C6E"/>
    <w:rsid w:val="648B3707"/>
    <w:rsid w:val="64D43A30"/>
    <w:rsid w:val="64D529D4"/>
    <w:rsid w:val="64E97F65"/>
    <w:rsid w:val="6541354F"/>
    <w:rsid w:val="655103FA"/>
    <w:rsid w:val="66197744"/>
    <w:rsid w:val="6638244C"/>
    <w:rsid w:val="66533C49"/>
    <w:rsid w:val="66547B9D"/>
    <w:rsid w:val="66B8375B"/>
    <w:rsid w:val="66ED18C1"/>
    <w:rsid w:val="66F145A6"/>
    <w:rsid w:val="672A7FCC"/>
    <w:rsid w:val="674B2696"/>
    <w:rsid w:val="675A33BD"/>
    <w:rsid w:val="681A68F2"/>
    <w:rsid w:val="681D5920"/>
    <w:rsid w:val="682378C9"/>
    <w:rsid w:val="683E7B42"/>
    <w:rsid w:val="683F7123"/>
    <w:rsid w:val="692A6F40"/>
    <w:rsid w:val="69417648"/>
    <w:rsid w:val="69634577"/>
    <w:rsid w:val="6AAC45E1"/>
    <w:rsid w:val="6AE71A21"/>
    <w:rsid w:val="6AE9161E"/>
    <w:rsid w:val="6AEE4FEA"/>
    <w:rsid w:val="6B3D28F6"/>
    <w:rsid w:val="6B453397"/>
    <w:rsid w:val="6B7F6FEA"/>
    <w:rsid w:val="6BC557F0"/>
    <w:rsid w:val="6C363D33"/>
    <w:rsid w:val="6C7672FB"/>
    <w:rsid w:val="6D2D429D"/>
    <w:rsid w:val="6D383BAD"/>
    <w:rsid w:val="6D433682"/>
    <w:rsid w:val="6D7A3BE6"/>
    <w:rsid w:val="6DB1578C"/>
    <w:rsid w:val="6E0D08C5"/>
    <w:rsid w:val="6E674ED4"/>
    <w:rsid w:val="6F0427D6"/>
    <w:rsid w:val="6F0A6540"/>
    <w:rsid w:val="6F744701"/>
    <w:rsid w:val="6FD7748A"/>
    <w:rsid w:val="6FEA35D5"/>
    <w:rsid w:val="70624FB7"/>
    <w:rsid w:val="70827B25"/>
    <w:rsid w:val="70C22965"/>
    <w:rsid w:val="71212099"/>
    <w:rsid w:val="715C7915"/>
    <w:rsid w:val="71C61E7E"/>
    <w:rsid w:val="71DB657E"/>
    <w:rsid w:val="71E84D8C"/>
    <w:rsid w:val="721854F8"/>
    <w:rsid w:val="725400DF"/>
    <w:rsid w:val="731131B9"/>
    <w:rsid w:val="732206A6"/>
    <w:rsid w:val="73561212"/>
    <w:rsid w:val="736D2ADD"/>
    <w:rsid w:val="73BC4509"/>
    <w:rsid w:val="73DB2D09"/>
    <w:rsid w:val="74586ED6"/>
    <w:rsid w:val="74651DD5"/>
    <w:rsid w:val="74E866BC"/>
    <w:rsid w:val="750C724B"/>
    <w:rsid w:val="75F65450"/>
    <w:rsid w:val="76093C61"/>
    <w:rsid w:val="7675574B"/>
    <w:rsid w:val="76D57D2E"/>
    <w:rsid w:val="77036448"/>
    <w:rsid w:val="777B3124"/>
    <w:rsid w:val="777E162F"/>
    <w:rsid w:val="77A81730"/>
    <w:rsid w:val="786D21BE"/>
    <w:rsid w:val="78B17C00"/>
    <w:rsid w:val="78B216EF"/>
    <w:rsid w:val="78B82110"/>
    <w:rsid w:val="78CE44A8"/>
    <w:rsid w:val="78EE3271"/>
    <w:rsid w:val="797C1F00"/>
    <w:rsid w:val="79916F35"/>
    <w:rsid w:val="79C159FD"/>
    <w:rsid w:val="79D41E55"/>
    <w:rsid w:val="79E072FD"/>
    <w:rsid w:val="79E50810"/>
    <w:rsid w:val="79E71B74"/>
    <w:rsid w:val="79FE192B"/>
    <w:rsid w:val="7A2E50E1"/>
    <w:rsid w:val="7A4015E3"/>
    <w:rsid w:val="7A543372"/>
    <w:rsid w:val="7A904E7F"/>
    <w:rsid w:val="7AE905CE"/>
    <w:rsid w:val="7AEF6BF7"/>
    <w:rsid w:val="7B572EF7"/>
    <w:rsid w:val="7B764206"/>
    <w:rsid w:val="7B787529"/>
    <w:rsid w:val="7BA1119E"/>
    <w:rsid w:val="7BAC68D1"/>
    <w:rsid w:val="7BCC76F9"/>
    <w:rsid w:val="7BE17FBE"/>
    <w:rsid w:val="7C2F0821"/>
    <w:rsid w:val="7CC45FDC"/>
    <w:rsid w:val="7CC55E55"/>
    <w:rsid w:val="7CF31124"/>
    <w:rsid w:val="7D096956"/>
    <w:rsid w:val="7D5227FE"/>
    <w:rsid w:val="7D5700FB"/>
    <w:rsid w:val="7D9E3424"/>
    <w:rsid w:val="7DF432EF"/>
    <w:rsid w:val="7E07577C"/>
    <w:rsid w:val="7EBA751C"/>
    <w:rsid w:val="7EC7799B"/>
    <w:rsid w:val="7F082390"/>
    <w:rsid w:val="7F912659"/>
    <w:rsid w:val="7FBA59C4"/>
    <w:rsid w:val="7FC76F9A"/>
    <w:rsid w:val="7FFC7B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qFormat="1"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uiPriority="99" w:name="Body Text 3" w:locked="1"/>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ocked="1"/>
    <w:lsdException w:qFormat="1" w:unhideWhenUsed="0" w:uiPriority="99"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qFormat="1" w:unhideWhenUsed="0" w:uiPriority="0" w:semiHidden="0"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iPriority="99" w:name="Balloon Text" w:locked="1"/>
    <w:lsdException w:qFormat="1" w:unhideWhenUsed="0" w:uiPriority="99" w:semiHidden="0" w:name="Table Grid"/>
    <w:lsdException w:qFormat="1"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jc w:val="both"/>
    </w:pPr>
    <w:rPr>
      <w:rFonts w:ascii="Times New Roman" w:hAnsi="Times New Roman" w:eastAsia="宋体" w:cs="Times New Roman"/>
      <w:kern w:val="2"/>
      <w:sz w:val="28"/>
      <w:szCs w:val="28"/>
      <w:lang w:val="en-US" w:eastAsia="zh-CN" w:bidi="ar-SA"/>
    </w:rPr>
  </w:style>
  <w:style w:type="paragraph" w:styleId="3">
    <w:name w:val="heading 1"/>
    <w:basedOn w:val="1"/>
    <w:next w:val="1"/>
    <w:link w:val="37"/>
    <w:qFormat/>
    <w:uiPriority w:val="99"/>
    <w:pPr>
      <w:keepNext/>
      <w:keepLines/>
      <w:jc w:val="center"/>
      <w:outlineLvl w:val="0"/>
    </w:pPr>
    <w:rPr>
      <w:rFonts w:eastAsia="黑体"/>
      <w:b/>
      <w:bCs/>
      <w:kern w:val="10"/>
      <w:sz w:val="32"/>
      <w:szCs w:val="32"/>
    </w:rPr>
  </w:style>
  <w:style w:type="paragraph" w:styleId="4">
    <w:name w:val="heading 2"/>
    <w:basedOn w:val="1"/>
    <w:next w:val="1"/>
    <w:link w:val="38"/>
    <w:qFormat/>
    <w:uiPriority w:val="99"/>
    <w:pPr>
      <w:keepNext/>
      <w:jc w:val="center"/>
      <w:outlineLvl w:val="1"/>
    </w:pPr>
    <w:rPr>
      <w:rFonts w:eastAsia="楷体"/>
      <w:b/>
      <w:bCs/>
      <w:kern w:val="0"/>
    </w:rPr>
  </w:style>
  <w:style w:type="paragraph" w:styleId="5">
    <w:name w:val="heading 3"/>
    <w:basedOn w:val="1"/>
    <w:next w:val="1"/>
    <w:link w:val="35"/>
    <w:qFormat/>
    <w:uiPriority w:val="99"/>
    <w:pPr>
      <w:keepNext/>
      <w:keepLines/>
      <w:ind w:left="200" w:leftChars="200"/>
      <w:outlineLvl w:val="2"/>
    </w:pPr>
    <w:rPr>
      <w:b/>
      <w:bCs/>
    </w:rPr>
  </w:style>
  <w:style w:type="paragraph" w:styleId="2">
    <w:name w:val="heading 4"/>
    <w:basedOn w:val="1"/>
    <w:next w:val="1"/>
    <w:link w:val="39"/>
    <w:qFormat/>
    <w:uiPriority w:val="99"/>
    <w:pPr>
      <w:keepNext/>
      <w:keepLines/>
      <w:outlineLvl w:val="3"/>
    </w:pPr>
    <w:rPr>
      <w:b/>
      <w:bCs/>
    </w:rPr>
  </w:style>
  <w:style w:type="character" w:default="1" w:styleId="29">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locked/>
    <w:uiPriority w:val="0"/>
    <w:pPr>
      <w:spacing w:line="240" w:lineRule="auto"/>
      <w:ind w:firstLine="420" w:firstLineChars="200"/>
    </w:pPr>
    <w:rPr>
      <w:rFonts w:ascii="Times New Roman" w:hAnsi="Times New Roman" w:cs="Times New Roman"/>
      <w:sz w:val="21"/>
      <w:szCs w:val="24"/>
    </w:rPr>
  </w:style>
  <w:style w:type="paragraph" w:styleId="7">
    <w:name w:val="toc 1"/>
    <w:basedOn w:val="1"/>
    <w:next w:val="1"/>
    <w:semiHidden/>
    <w:qFormat/>
    <w:uiPriority w:val="99"/>
  </w:style>
  <w:style w:type="paragraph" w:styleId="8">
    <w:name w:val="List Bullet"/>
    <w:basedOn w:val="1"/>
    <w:next w:val="1"/>
    <w:semiHidden/>
    <w:unhideWhenUsed/>
    <w:qFormat/>
    <w:locked/>
    <w:uiPriority w:val="99"/>
    <w:pPr>
      <w:numPr>
        <w:ilvl w:val="0"/>
        <w:numId w:val="1"/>
      </w:numPr>
    </w:pPr>
  </w:style>
  <w:style w:type="paragraph" w:styleId="9">
    <w:name w:val="annotation text"/>
    <w:basedOn w:val="1"/>
    <w:link w:val="42"/>
    <w:semiHidden/>
    <w:qFormat/>
    <w:uiPriority w:val="99"/>
    <w:pPr>
      <w:jc w:val="left"/>
    </w:pPr>
  </w:style>
  <w:style w:type="paragraph" w:styleId="10">
    <w:name w:val="Body Text"/>
    <w:basedOn w:val="1"/>
    <w:next w:val="1"/>
    <w:link w:val="43"/>
    <w:qFormat/>
    <w:uiPriority w:val="99"/>
  </w:style>
  <w:style w:type="paragraph" w:styleId="11">
    <w:name w:val="Body Text Indent"/>
    <w:basedOn w:val="1"/>
    <w:link w:val="40"/>
    <w:qFormat/>
    <w:uiPriority w:val="99"/>
    <w:pPr>
      <w:widowControl/>
      <w:snapToGrid w:val="0"/>
      <w:spacing w:line="560" w:lineRule="exact"/>
      <w:ind w:firstLine="482"/>
    </w:pPr>
    <w:rPr>
      <w:rFonts w:ascii="宋体" w:cs="宋体"/>
      <w:sz w:val="24"/>
      <w:szCs w:val="24"/>
    </w:rPr>
  </w:style>
  <w:style w:type="paragraph" w:styleId="12">
    <w:name w:val="Plain Text"/>
    <w:basedOn w:val="1"/>
    <w:link w:val="44"/>
    <w:qFormat/>
    <w:uiPriority w:val="99"/>
    <w:rPr>
      <w:rFonts w:ascii="宋体" w:hAnsi="Courier New" w:cs="宋体"/>
    </w:rPr>
  </w:style>
  <w:style w:type="paragraph" w:styleId="13">
    <w:name w:val="Body Text Indent 2"/>
    <w:basedOn w:val="1"/>
    <w:link w:val="45"/>
    <w:qFormat/>
    <w:uiPriority w:val="99"/>
    <w:pPr>
      <w:ind w:firstLine="280" w:firstLineChars="100"/>
    </w:pPr>
  </w:style>
  <w:style w:type="paragraph" w:styleId="14">
    <w:name w:val="Balloon Text"/>
    <w:basedOn w:val="1"/>
    <w:link w:val="78"/>
    <w:semiHidden/>
    <w:unhideWhenUsed/>
    <w:qFormat/>
    <w:locked/>
    <w:uiPriority w:val="99"/>
    <w:pPr>
      <w:spacing w:line="240" w:lineRule="auto"/>
    </w:pPr>
    <w:rPr>
      <w:sz w:val="18"/>
      <w:szCs w:val="18"/>
    </w:rPr>
  </w:style>
  <w:style w:type="paragraph" w:styleId="15">
    <w:name w:val="footer"/>
    <w:basedOn w:val="1"/>
    <w:next w:val="16"/>
    <w:link w:val="65"/>
    <w:qFormat/>
    <w:uiPriority w:val="99"/>
    <w:pPr>
      <w:tabs>
        <w:tab w:val="center" w:pos="4153"/>
        <w:tab w:val="right" w:pos="8306"/>
      </w:tabs>
      <w:snapToGrid w:val="0"/>
      <w:jc w:val="left"/>
    </w:pPr>
    <w:rPr>
      <w:sz w:val="18"/>
      <w:szCs w:val="18"/>
    </w:rPr>
  </w:style>
  <w:style w:type="paragraph" w:styleId="16">
    <w:name w:val="Normal (Web)"/>
    <w:basedOn w:val="1"/>
    <w:qFormat/>
    <w:uiPriority w:val="99"/>
    <w:rPr>
      <w:sz w:val="24"/>
      <w:szCs w:val="24"/>
    </w:rPr>
  </w:style>
  <w:style w:type="paragraph" w:styleId="17">
    <w:name w:val="header"/>
    <w:basedOn w:val="1"/>
    <w:link w:val="4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szCs w:val="18"/>
    </w:rPr>
  </w:style>
  <w:style w:type="paragraph" w:styleId="18">
    <w:name w:val="List"/>
    <w:basedOn w:val="1"/>
    <w:qFormat/>
    <w:uiPriority w:val="99"/>
    <w:pPr>
      <w:widowControl/>
      <w:overflowPunct w:val="0"/>
      <w:autoSpaceDE w:val="0"/>
      <w:autoSpaceDN w:val="0"/>
      <w:adjustRightInd w:val="0"/>
      <w:spacing w:line="360" w:lineRule="auto"/>
      <w:jc w:val="center"/>
      <w:textAlignment w:val="baseline"/>
    </w:pPr>
    <w:rPr>
      <w:kern w:val="0"/>
      <w:lang w:val="en-GB"/>
    </w:rPr>
  </w:style>
  <w:style w:type="paragraph" w:styleId="19">
    <w:name w:val="toc 2"/>
    <w:basedOn w:val="1"/>
    <w:next w:val="1"/>
    <w:semiHidden/>
    <w:qFormat/>
    <w:uiPriority w:val="99"/>
    <w:pPr>
      <w:ind w:left="420" w:leftChars="200"/>
    </w:pPr>
  </w:style>
  <w:style w:type="paragraph" w:styleId="20">
    <w:name w:val="Body Text 2"/>
    <w:basedOn w:val="1"/>
    <w:link w:val="48"/>
    <w:qFormat/>
    <w:uiPriority w:val="99"/>
    <w:rPr>
      <w:rFonts w:ascii="宋体" w:hAnsi="宋体" w:cs="宋体"/>
      <w:color w:val="FF6600"/>
    </w:rPr>
  </w:style>
  <w:style w:type="paragraph" w:styleId="21">
    <w:name w:val="Title"/>
    <w:basedOn w:val="1"/>
    <w:link w:val="49"/>
    <w:qFormat/>
    <w:uiPriority w:val="99"/>
    <w:pPr>
      <w:jc w:val="center"/>
      <w:outlineLvl w:val="0"/>
    </w:pPr>
    <w:rPr>
      <w:rFonts w:ascii="Arial" w:hAnsi="Arial" w:cs="Arial"/>
      <w:b/>
      <w:bCs/>
      <w:sz w:val="32"/>
      <w:szCs w:val="32"/>
    </w:rPr>
  </w:style>
  <w:style w:type="paragraph" w:styleId="22">
    <w:name w:val="annotation subject"/>
    <w:basedOn w:val="9"/>
    <w:next w:val="9"/>
    <w:link w:val="79"/>
    <w:semiHidden/>
    <w:unhideWhenUsed/>
    <w:qFormat/>
    <w:locked/>
    <w:uiPriority w:val="99"/>
    <w:rPr>
      <w:b/>
      <w:bCs/>
    </w:rPr>
  </w:style>
  <w:style w:type="paragraph" w:styleId="23">
    <w:name w:val="Body Text First Indent"/>
    <w:basedOn w:val="10"/>
    <w:link w:val="50"/>
    <w:qFormat/>
    <w:uiPriority w:val="99"/>
    <w:pPr>
      <w:ind w:firstLine="420"/>
    </w:pPr>
  </w:style>
  <w:style w:type="paragraph" w:styleId="24">
    <w:name w:val="Body Text First Indent 2"/>
    <w:basedOn w:val="10"/>
    <w:next w:val="1"/>
    <w:link w:val="41"/>
    <w:qFormat/>
    <w:uiPriority w:val="99"/>
    <w:pPr>
      <w:spacing w:after="120" w:line="240" w:lineRule="auto"/>
      <w:ind w:left="420" w:leftChars="200" w:firstLine="420"/>
      <w:jc w:val="center"/>
    </w:pPr>
    <w:rPr>
      <w:rFonts w:ascii="Calibri" w:hAnsi="Calibri" w:cs="Calibri"/>
      <w:b/>
      <w:bCs/>
      <w:sz w:val="44"/>
      <w:szCs w:val="44"/>
    </w:rPr>
  </w:style>
  <w:style w:type="table" w:styleId="26">
    <w:name w:val="Table Grid"/>
    <w:basedOn w:val="2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7">
    <w:name w:val="Table Theme"/>
    <w:basedOn w:val="25"/>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8">
    <w:name w:val="Table Grid 1"/>
    <w:basedOn w:val="25"/>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30">
    <w:name w:val="Strong"/>
    <w:qFormat/>
    <w:locked/>
    <w:uiPriority w:val="99"/>
    <w:rPr>
      <w:b/>
      <w:bCs/>
    </w:rPr>
  </w:style>
  <w:style w:type="character" w:styleId="31">
    <w:name w:val="page number"/>
    <w:basedOn w:val="29"/>
    <w:qFormat/>
    <w:uiPriority w:val="99"/>
  </w:style>
  <w:style w:type="character" w:styleId="32">
    <w:name w:val="Emphasis"/>
    <w:basedOn w:val="29"/>
    <w:qFormat/>
    <w:locked/>
    <w:uiPriority w:val="99"/>
    <w:rPr>
      <w:i/>
      <w:iCs/>
    </w:rPr>
  </w:style>
  <w:style w:type="character" w:styleId="33">
    <w:name w:val="Hyperlink"/>
    <w:basedOn w:val="29"/>
    <w:qFormat/>
    <w:uiPriority w:val="99"/>
    <w:rPr>
      <w:color w:val="0000FF"/>
      <w:u w:val="single"/>
    </w:rPr>
  </w:style>
  <w:style w:type="character" w:styleId="34">
    <w:name w:val="annotation reference"/>
    <w:basedOn w:val="29"/>
    <w:semiHidden/>
    <w:unhideWhenUsed/>
    <w:qFormat/>
    <w:locked/>
    <w:uiPriority w:val="99"/>
    <w:rPr>
      <w:sz w:val="21"/>
      <w:szCs w:val="21"/>
    </w:rPr>
  </w:style>
  <w:style w:type="character" w:customStyle="1" w:styleId="35">
    <w:name w:val="标题 3 Char"/>
    <w:basedOn w:val="29"/>
    <w:link w:val="5"/>
    <w:semiHidden/>
    <w:qFormat/>
    <w:locked/>
    <w:uiPriority w:val="99"/>
    <w:rPr>
      <w:rFonts w:ascii="Times New Roman" w:hAnsi="Times New Roman" w:eastAsia="宋体" w:cs="Times New Roman"/>
      <w:b/>
      <w:bCs/>
      <w:sz w:val="32"/>
      <w:szCs w:val="32"/>
    </w:rPr>
  </w:style>
  <w:style w:type="character" w:customStyle="1" w:styleId="36">
    <w:name w:val="标题 2 Char"/>
    <w:link w:val="4"/>
    <w:qFormat/>
    <w:locked/>
    <w:uiPriority w:val="99"/>
    <w:rPr>
      <w:rFonts w:ascii="Times New Roman" w:hAnsi="Times New Roman" w:eastAsia="楷体" w:cs="Times New Roman"/>
      <w:b/>
      <w:bCs/>
      <w:sz w:val="28"/>
      <w:szCs w:val="28"/>
    </w:rPr>
  </w:style>
  <w:style w:type="character" w:customStyle="1" w:styleId="37">
    <w:name w:val="标题 1 Char"/>
    <w:basedOn w:val="29"/>
    <w:link w:val="3"/>
    <w:qFormat/>
    <w:locked/>
    <w:uiPriority w:val="99"/>
    <w:rPr>
      <w:rFonts w:ascii="Times New Roman" w:hAnsi="Times New Roman" w:eastAsia="黑体" w:cs="Times New Roman"/>
      <w:b/>
      <w:bCs/>
      <w:kern w:val="10"/>
      <w:sz w:val="44"/>
      <w:szCs w:val="44"/>
    </w:rPr>
  </w:style>
  <w:style w:type="character" w:customStyle="1" w:styleId="38">
    <w:name w:val="Heading 2 Char"/>
    <w:basedOn w:val="29"/>
    <w:link w:val="4"/>
    <w:qFormat/>
    <w:locked/>
    <w:uiPriority w:val="99"/>
    <w:rPr>
      <w:rFonts w:ascii="Times New Roman" w:hAnsi="Times New Roman" w:eastAsia="宋体" w:cs="Times New Roman"/>
      <w:b/>
      <w:bCs/>
      <w:sz w:val="28"/>
      <w:szCs w:val="28"/>
    </w:rPr>
  </w:style>
  <w:style w:type="character" w:customStyle="1" w:styleId="39">
    <w:name w:val="标题 4 Char"/>
    <w:basedOn w:val="29"/>
    <w:link w:val="2"/>
    <w:semiHidden/>
    <w:qFormat/>
    <w:locked/>
    <w:uiPriority w:val="99"/>
    <w:rPr>
      <w:rFonts w:ascii="Times New Roman" w:hAnsi="Times New Roman" w:eastAsia="宋体" w:cs="Times New Roman"/>
      <w:b/>
      <w:bCs/>
      <w:sz w:val="28"/>
      <w:szCs w:val="28"/>
    </w:rPr>
  </w:style>
  <w:style w:type="character" w:customStyle="1" w:styleId="40">
    <w:name w:val="正文文本缩进 Char"/>
    <w:basedOn w:val="29"/>
    <w:link w:val="11"/>
    <w:semiHidden/>
    <w:qFormat/>
    <w:locked/>
    <w:uiPriority w:val="99"/>
    <w:rPr>
      <w:sz w:val="28"/>
      <w:szCs w:val="28"/>
    </w:rPr>
  </w:style>
  <w:style w:type="character" w:customStyle="1" w:styleId="41">
    <w:name w:val="正文首行缩进 2 Char"/>
    <w:basedOn w:val="40"/>
    <w:link w:val="24"/>
    <w:semiHidden/>
    <w:qFormat/>
    <w:uiPriority w:val="99"/>
  </w:style>
  <w:style w:type="character" w:customStyle="1" w:styleId="42">
    <w:name w:val="批注文字 Char"/>
    <w:basedOn w:val="29"/>
    <w:link w:val="9"/>
    <w:semiHidden/>
    <w:qFormat/>
    <w:locked/>
    <w:uiPriority w:val="99"/>
    <w:rPr>
      <w:sz w:val="28"/>
      <w:szCs w:val="28"/>
    </w:rPr>
  </w:style>
  <w:style w:type="character" w:customStyle="1" w:styleId="43">
    <w:name w:val="正文文本 Char"/>
    <w:basedOn w:val="29"/>
    <w:link w:val="10"/>
    <w:semiHidden/>
    <w:qFormat/>
    <w:locked/>
    <w:uiPriority w:val="99"/>
    <w:rPr>
      <w:sz w:val="28"/>
      <w:szCs w:val="28"/>
    </w:rPr>
  </w:style>
  <w:style w:type="character" w:customStyle="1" w:styleId="44">
    <w:name w:val="纯文本 Char"/>
    <w:basedOn w:val="29"/>
    <w:link w:val="12"/>
    <w:semiHidden/>
    <w:qFormat/>
    <w:locked/>
    <w:uiPriority w:val="99"/>
    <w:rPr>
      <w:rFonts w:ascii="宋体" w:hAnsi="Courier New" w:cs="宋体"/>
      <w:sz w:val="21"/>
      <w:szCs w:val="21"/>
    </w:rPr>
  </w:style>
  <w:style w:type="character" w:customStyle="1" w:styleId="45">
    <w:name w:val="正文文本缩进 2 Char"/>
    <w:basedOn w:val="29"/>
    <w:link w:val="13"/>
    <w:semiHidden/>
    <w:qFormat/>
    <w:locked/>
    <w:uiPriority w:val="99"/>
    <w:rPr>
      <w:sz w:val="28"/>
      <w:szCs w:val="28"/>
    </w:rPr>
  </w:style>
  <w:style w:type="character" w:customStyle="1" w:styleId="46">
    <w:name w:val="Footer Char"/>
    <w:basedOn w:val="29"/>
    <w:link w:val="15"/>
    <w:semiHidden/>
    <w:qFormat/>
    <w:locked/>
    <w:uiPriority w:val="99"/>
    <w:rPr>
      <w:sz w:val="18"/>
      <w:szCs w:val="18"/>
    </w:rPr>
  </w:style>
  <w:style w:type="character" w:customStyle="1" w:styleId="47">
    <w:name w:val="页眉 Char"/>
    <w:basedOn w:val="29"/>
    <w:link w:val="17"/>
    <w:semiHidden/>
    <w:qFormat/>
    <w:locked/>
    <w:uiPriority w:val="99"/>
    <w:rPr>
      <w:sz w:val="18"/>
      <w:szCs w:val="18"/>
    </w:rPr>
  </w:style>
  <w:style w:type="character" w:customStyle="1" w:styleId="48">
    <w:name w:val="正文文本 2 Char"/>
    <w:basedOn w:val="29"/>
    <w:link w:val="20"/>
    <w:semiHidden/>
    <w:qFormat/>
    <w:locked/>
    <w:uiPriority w:val="99"/>
    <w:rPr>
      <w:sz w:val="28"/>
      <w:szCs w:val="28"/>
    </w:rPr>
  </w:style>
  <w:style w:type="character" w:customStyle="1" w:styleId="49">
    <w:name w:val="标题 Char"/>
    <w:basedOn w:val="29"/>
    <w:link w:val="21"/>
    <w:qFormat/>
    <w:locked/>
    <w:uiPriority w:val="99"/>
    <w:rPr>
      <w:rFonts w:ascii="Cambria" w:hAnsi="Cambria" w:cs="Cambria"/>
      <w:b/>
      <w:bCs/>
      <w:sz w:val="32"/>
      <w:szCs w:val="32"/>
    </w:rPr>
  </w:style>
  <w:style w:type="character" w:customStyle="1" w:styleId="50">
    <w:name w:val="正文首行缩进 Char"/>
    <w:basedOn w:val="43"/>
    <w:link w:val="23"/>
    <w:semiHidden/>
    <w:qFormat/>
    <w:locked/>
    <w:uiPriority w:val="99"/>
  </w:style>
  <w:style w:type="paragraph" w:customStyle="1" w:styleId="51">
    <w:name w:val="样式 标题 2"/>
    <w:basedOn w:val="4"/>
    <w:qFormat/>
    <w:uiPriority w:val="99"/>
    <w:pPr>
      <w:spacing w:before="50" w:after="50"/>
      <w:jc w:val="both"/>
    </w:pPr>
  </w:style>
  <w:style w:type="paragraph" w:customStyle="1" w:styleId="52">
    <w:name w:val="Char"/>
    <w:basedOn w:val="1"/>
    <w:semiHidden/>
    <w:qFormat/>
    <w:uiPriority w:val="99"/>
    <w:pPr>
      <w:widowControl/>
      <w:spacing w:after="160" w:line="240" w:lineRule="exact"/>
      <w:jc w:val="left"/>
    </w:pPr>
    <w:rPr>
      <w:rFonts w:ascii="Verdana" w:hAnsi="Verdana" w:cs="Verdana"/>
      <w:kern w:val="0"/>
      <w:sz w:val="20"/>
      <w:szCs w:val="20"/>
      <w:lang w:eastAsia="en-US"/>
    </w:rPr>
  </w:style>
  <w:style w:type="paragraph" w:customStyle="1" w:styleId="53">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4">
    <w:name w:val="简单回函地址"/>
    <w:basedOn w:val="1"/>
    <w:qFormat/>
    <w:uiPriority w:val="99"/>
  </w:style>
  <w:style w:type="paragraph" w:customStyle="1" w:styleId="55">
    <w:name w:val="表头"/>
    <w:basedOn w:val="18"/>
    <w:qFormat/>
    <w:uiPriority w:val="99"/>
    <w:rPr>
      <w:rFonts w:ascii="宋体" w:hAnsi="宋体" w:cs="宋体"/>
      <w:b/>
      <w:bCs/>
      <w:kern w:val="10"/>
      <w:sz w:val="21"/>
      <w:szCs w:val="21"/>
    </w:rPr>
  </w:style>
  <w:style w:type="character" w:customStyle="1" w:styleId="56">
    <w:name w:val="text"/>
    <w:basedOn w:val="29"/>
    <w:qFormat/>
    <w:uiPriority w:val="99"/>
  </w:style>
  <w:style w:type="paragraph" w:customStyle="1" w:styleId="57">
    <w:name w:val="正文表标题"/>
    <w:next w:val="58"/>
    <w:qFormat/>
    <w:uiPriority w:val="99"/>
    <w:pPr>
      <w:jc w:val="center"/>
    </w:pPr>
    <w:rPr>
      <w:rFonts w:ascii="黑体" w:hAnsi="Times New Roman" w:eastAsia="黑体" w:cs="黑体"/>
      <w:sz w:val="21"/>
      <w:szCs w:val="21"/>
      <w:lang w:val="en-US" w:eastAsia="zh-CN" w:bidi="ar-SA"/>
    </w:rPr>
  </w:style>
  <w:style w:type="paragraph" w:customStyle="1" w:styleId="58">
    <w:name w:val="段"/>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59">
    <w:name w:val="样式10"/>
    <w:basedOn w:val="60"/>
    <w:qFormat/>
    <w:uiPriority w:val="99"/>
    <w:pPr>
      <w:suppressAutoHyphens/>
    </w:pPr>
  </w:style>
  <w:style w:type="paragraph" w:customStyle="1" w:styleId="60">
    <w:name w:val="样式8"/>
    <w:basedOn w:val="1"/>
    <w:qFormat/>
    <w:uiPriority w:val="99"/>
    <w:pPr>
      <w:spacing w:line="360" w:lineRule="auto"/>
      <w:ind w:firstLine="560" w:firstLineChars="200"/>
    </w:pPr>
    <w:rPr>
      <w:rFonts w:ascii="宋体" w:hAnsi="宋体" w:cs="宋体"/>
      <w:color w:val="000000"/>
    </w:rPr>
  </w:style>
  <w:style w:type="character" w:customStyle="1" w:styleId="61">
    <w:name w:val="font21"/>
    <w:basedOn w:val="29"/>
    <w:qFormat/>
    <w:uiPriority w:val="0"/>
    <w:rPr>
      <w:rFonts w:ascii="宋体" w:hAnsi="宋体" w:eastAsia="宋体" w:cs="宋体"/>
      <w:color w:val="000000"/>
      <w:sz w:val="24"/>
      <w:szCs w:val="24"/>
      <w:u w:val="none"/>
    </w:rPr>
  </w:style>
  <w:style w:type="paragraph" w:customStyle="1" w:styleId="62">
    <w:name w:val="方框"/>
    <w:basedOn w:val="1"/>
    <w:qFormat/>
    <w:uiPriority w:val="99"/>
    <w:pPr>
      <w:widowControl/>
      <w:spacing w:line="240" w:lineRule="atLeast"/>
    </w:pPr>
    <w:rPr>
      <w:rFonts w:ascii="宋体" w:cs="宋体"/>
      <w:kern w:val="0"/>
      <w:sz w:val="24"/>
      <w:szCs w:val="24"/>
    </w:rPr>
  </w:style>
  <w:style w:type="paragraph" w:customStyle="1" w:styleId="63">
    <w:name w:val="Table Paragraph"/>
    <w:basedOn w:val="1"/>
    <w:qFormat/>
    <w:uiPriority w:val="99"/>
  </w:style>
  <w:style w:type="character" w:customStyle="1" w:styleId="64">
    <w:name w:val="zw1"/>
    <w:qFormat/>
    <w:uiPriority w:val="99"/>
    <w:rPr>
      <w:rFonts w:ascii="宋体" w:hAnsi="宋体" w:eastAsia="宋体" w:cs="宋体"/>
      <w:sz w:val="22"/>
      <w:szCs w:val="22"/>
    </w:rPr>
  </w:style>
  <w:style w:type="character" w:customStyle="1" w:styleId="65">
    <w:name w:val="页脚 Char"/>
    <w:basedOn w:val="29"/>
    <w:link w:val="15"/>
    <w:qFormat/>
    <w:locked/>
    <w:uiPriority w:val="99"/>
    <w:rPr>
      <w:rFonts w:eastAsia="宋体"/>
      <w:kern w:val="2"/>
      <w:sz w:val="24"/>
      <w:szCs w:val="24"/>
      <w:lang w:val="en-US" w:eastAsia="zh-CN"/>
    </w:rPr>
  </w:style>
  <w:style w:type="character" w:customStyle="1" w:styleId="66">
    <w:name w:val="font41"/>
    <w:basedOn w:val="29"/>
    <w:qFormat/>
    <w:uiPriority w:val="0"/>
    <w:rPr>
      <w:rFonts w:ascii="宋体" w:hAnsi="宋体" w:eastAsia="宋体" w:cs="宋体"/>
      <w:color w:val="000000"/>
      <w:sz w:val="21"/>
      <w:szCs w:val="21"/>
      <w:u w:val="none"/>
    </w:rPr>
  </w:style>
  <w:style w:type="paragraph" w:customStyle="1" w:styleId="67">
    <w:name w:val="表格内容"/>
    <w:basedOn w:val="68"/>
    <w:qFormat/>
    <w:uiPriority w:val="99"/>
    <w:pPr>
      <w:overflowPunct w:val="0"/>
      <w:adjustRightInd w:val="0"/>
      <w:spacing w:before="40" w:after="60" w:line="200" w:lineRule="atLeast"/>
      <w:textAlignment w:val="baseline"/>
    </w:pPr>
    <w:rPr>
      <w:rFonts w:ascii="Arial" w:hAnsi="Arial" w:eastAsia="仿宋_GB2312" w:cs="Arial"/>
      <w:kern w:val="0"/>
      <w:sz w:val="24"/>
      <w:szCs w:val="24"/>
    </w:rPr>
  </w:style>
  <w:style w:type="paragraph" w:customStyle="1" w:styleId="68">
    <w:name w:val="文字样式"/>
    <w:qFormat/>
    <w:uiPriority w:val="99"/>
    <w:pPr>
      <w:widowControl w:val="0"/>
      <w:suppressAutoHyphens/>
      <w:snapToGrid w:val="0"/>
    </w:pPr>
    <w:rPr>
      <w:rFonts w:ascii="Calibri" w:hAnsi="Calibri" w:eastAsia="宋体" w:cs="Calibri"/>
      <w:kern w:val="1"/>
      <w:sz w:val="28"/>
      <w:szCs w:val="28"/>
      <w:lang w:val="en-US" w:eastAsia="zh-CN" w:bidi="ar-SA"/>
    </w:rPr>
  </w:style>
  <w:style w:type="paragraph" w:styleId="69">
    <w:name w:val="List Paragraph"/>
    <w:basedOn w:val="1"/>
    <w:qFormat/>
    <w:uiPriority w:val="99"/>
    <w:pPr>
      <w:widowControl/>
      <w:spacing w:line="520" w:lineRule="exact"/>
      <w:ind w:firstLine="420" w:firstLineChars="200"/>
      <w:jc w:val="left"/>
    </w:pPr>
  </w:style>
  <w:style w:type="paragraph" w:customStyle="1" w:styleId="70">
    <w:name w:val="--"/>
    <w:qFormat/>
    <w:uiPriority w:val="99"/>
    <w:pPr>
      <w:spacing w:before="100" w:beforeAutospacing="1" w:after="100" w:afterAutospacing="1"/>
    </w:pPr>
    <w:rPr>
      <w:rFonts w:ascii="宋体" w:hAnsi="宋体" w:eastAsia="宋体" w:cs="宋体"/>
      <w:sz w:val="24"/>
      <w:szCs w:val="24"/>
      <w:lang w:val="en-US" w:eastAsia="en-US" w:bidi="ar-SA"/>
    </w:rPr>
  </w:style>
  <w:style w:type="character" w:customStyle="1" w:styleId="71">
    <w:name w:val="qowt-font7-gb2312"/>
    <w:qFormat/>
    <w:uiPriority w:val="99"/>
  </w:style>
  <w:style w:type="character" w:customStyle="1" w:styleId="72">
    <w:name w:val="font51"/>
    <w:qFormat/>
    <w:uiPriority w:val="0"/>
    <w:rPr>
      <w:rFonts w:ascii="Calibri" w:hAnsi="Calibri" w:cs="Calibri"/>
      <w:color w:val="000000"/>
      <w:sz w:val="24"/>
      <w:szCs w:val="24"/>
      <w:u w:val="none"/>
    </w:rPr>
  </w:style>
  <w:style w:type="paragraph" w:customStyle="1" w:styleId="73">
    <w:name w:val="Char Char Char Char"/>
    <w:qFormat/>
    <w:uiPriority w:val="99"/>
    <w:pPr>
      <w:spacing w:after="160" w:line="240" w:lineRule="exact"/>
    </w:pPr>
    <w:rPr>
      <w:rFonts w:ascii="Verdana" w:hAnsi="Verdana" w:eastAsia="宋体" w:cs="Verdana"/>
      <w:lang w:val="en-US" w:eastAsia="en-US" w:bidi="ar-SA"/>
    </w:rPr>
  </w:style>
  <w:style w:type="paragraph" w:customStyle="1" w:styleId="74">
    <w:name w:val="0表格内容格式"/>
    <w:qFormat/>
    <w:uiPriority w:val="99"/>
    <w:pPr>
      <w:widowControl w:val="0"/>
      <w:jc w:val="center"/>
    </w:pPr>
    <w:rPr>
      <w:rFonts w:ascii="Times New Roman" w:hAnsi="Times New Roman" w:eastAsia="宋体" w:cs="Times New Roman"/>
      <w:kern w:val="2"/>
      <w:sz w:val="21"/>
      <w:szCs w:val="21"/>
      <w:lang w:val="en-US" w:eastAsia="zh-CN" w:bidi="ar-SA"/>
    </w:rPr>
  </w:style>
  <w:style w:type="paragraph" w:customStyle="1" w:styleId="75">
    <w:name w:val="表格文字"/>
    <w:qFormat/>
    <w:uiPriority w:val="99"/>
    <w:pPr>
      <w:widowControl w:val="0"/>
      <w:jc w:val="center"/>
    </w:pPr>
    <w:rPr>
      <w:rFonts w:ascii="Times New Roman" w:hAnsi="Times New Roman" w:eastAsia="宋体" w:cs="Times New Roman"/>
      <w:lang w:val="en-US" w:eastAsia="zh-CN" w:bidi="ar-SA"/>
    </w:rPr>
  </w:style>
  <w:style w:type="paragraph" w:customStyle="1" w:styleId="76">
    <w:name w:val="表标题"/>
    <w:qFormat/>
    <w:uiPriority w:val="99"/>
    <w:pPr>
      <w:jc w:val="center"/>
    </w:pPr>
    <w:rPr>
      <w:rFonts w:ascii="Times New Roman" w:hAnsi="Times New Roman" w:eastAsia="宋体" w:cs="Times New Roman"/>
      <w:sz w:val="21"/>
      <w:szCs w:val="21"/>
      <w:lang w:val="en-US" w:eastAsia="zh-CN" w:bidi="ar-SA"/>
    </w:rPr>
  </w:style>
  <w:style w:type="paragraph" w:customStyle="1" w:styleId="77">
    <w:name w:val="表格A"/>
    <w:qFormat/>
    <w:uiPriority w:val="99"/>
    <w:pPr>
      <w:jc w:val="center"/>
    </w:pPr>
    <w:rPr>
      <w:rFonts w:ascii="Times New Roman" w:hAnsi="Times New Roman" w:eastAsia="宋体" w:cs="Times New Roman"/>
      <w:kern w:val="2"/>
      <w:sz w:val="21"/>
      <w:szCs w:val="21"/>
      <w:lang w:val="en-US" w:eastAsia="zh-CN" w:bidi="ar-SA"/>
    </w:rPr>
  </w:style>
  <w:style w:type="character" w:customStyle="1" w:styleId="78">
    <w:name w:val="批注框文本 Char"/>
    <w:basedOn w:val="29"/>
    <w:link w:val="14"/>
    <w:semiHidden/>
    <w:qFormat/>
    <w:uiPriority w:val="99"/>
    <w:rPr>
      <w:kern w:val="2"/>
      <w:sz w:val="18"/>
      <w:szCs w:val="18"/>
    </w:rPr>
  </w:style>
  <w:style w:type="character" w:customStyle="1" w:styleId="79">
    <w:name w:val="批注主题 Char"/>
    <w:basedOn w:val="42"/>
    <w:link w:val="22"/>
    <w:semiHidden/>
    <w:qFormat/>
    <w:uiPriority w:val="99"/>
    <w:rPr>
      <w:b/>
      <w:bCs/>
      <w:kern w:val="2"/>
    </w:rPr>
  </w:style>
  <w:style w:type="character" w:customStyle="1" w:styleId="80">
    <w:name w:val="font01"/>
    <w:basedOn w:val="29"/>
    <w:qFormat/>
    <w:uiPriority w:val="0"/>
    <w:rPr>
      <w:rFonts w:hint="eastAsia" w:ascii="宋体" w:hAnsi="宋体" w:eastAsia="宋体"/>
      <w:color w:val="000000"/>
      <w:sz w:val="20"/>
      <w:szCs w:val="20"/>
      <w:u w:val="none"/>
    </w:rPr>
  </w:style>
  <w:style w:type="character" w:customStyle="1" w:styleId="81">
    <w:name w:val="font101"/>
    <w:basedOn w:val="29"/>
    <w:qFormat/>
    <w:uiPriority w:val="0"/>
    <w:rPr>
      <w:rFonts w:hint="default" w:ascii="Tahoma" w:hAnsi="Tahoma" w:cs="Tahoma"/>
      <w:color w:val="000000"/>
      <w:sz w:val="20"/>
      <w:szCs w:val="20"/>
      <w:u w:val="none"/>
    </w:rPr>
  </w:style>
  <w:style w:type="character" w:customStyle="1" w:styleId="82">
    <w:name w:val="font91"/>
    <w:basedOn w:val="29"/>
    <w:qFormat/>
    <w:uiPriority w:val="0"/>
    <w:rPr>
      <w:rFonts w:hint="default" w:ascii="Dialog" w:hAnsi="Dialog"/>
      <w:color w:val="000000"/>
      <w:sz w:val="22"/>
      <w:szCs w:val="22"/>
      <w:u w:val="none"/>
    </w:rPr>
  </w:style>
  <w:style w:type="character" w:customStyle="1" w:styleId="83">
    <w:name w:val="font11"/>
    <w:basedOn w:val="29"/>
    <w:qFormat/>
    <w:uiPriority w:val="0"/>
    <w:rPr>
      <w:rFonts w:hint="eastAsia" w:ascii="宋体" w:hAnsi="宋体" w:eastAsia="宋体"/>
      <w:color w:val="000000"/>
      <w:sz w:val="22"/>
      <w:szCs w:val="22"/>
      <w:u w:val="none"/>
    </w:rPr>
  </w:style>
  <w:style w:type="character" w:customStyle="1" w:styleId="84">
    <w:name w:val="font71"/>
    <w:basedOn w:val="29"/>
    <w:qFormat/>
    <w:uiPriority w:val="0"/>
    <w:rPr>
      <w:rFonts w:hint="default" w:ascii="Dialog" w:hAnsi="Dialog"/>
      <w:color w:val="000000"/>
      <w:sz w:val="20"/>
      <w:szCs w:val="20"/>
      <w:u w:val="none"/>
    </w:rPr>
  </w:style>
  <w:style w:type="paragraph" w:customStyle="1" w:styleId="85">
    <w:name w:val=" Char Char1 Char Char Char Char Char Char Char Char Char Char Char Char Char Char Char1 Char1 Char Char Char Char Char Char Char Char Char"/>
    <w:basedOn w:val="1"/>
    <w:qFormat/>
    <w:uiPriority w:val="0"/>
    <w:pPr>
      <w:widowControl/>
      <w:adjustRightInd w:val="0"/>
      <w:spacing w:after="160" w:line="240" w:lineRule="exact"/>
      <w:jc w:val="left"/>
      <w:textAlignment w:val="baseline"/>
    </w:pPr>
    <w:rPr>
      <w:rFonts w:ascii="Verdana" w:hAnsi="Verdana"/>
      <w:sz w:val="20"/>
      <w:lang w:eastAsia="en-US"/>
    </w:rPr>
  </w:style>
  <w:style w:type="paragraph" w:customStyle="1" w:styleId="86">
    <w:name w:val="表文"/>
    <w:qFormat/>
    <w:uiPriority w:val="0"/>
    <w:pPr>
      <w:spacing w:line="300" w:lineRule="exact"/>
    </w:pPr>
    <w:rPr>
      <w:rFonts w:ascii="Calibri" w:hAnsi="Calibri" w:eastAsia="宋体" w:cs="Times New Roman"/>
      <w:sz w:val="21"/>
      <w:lang w:val="en-US" w:eastAsia="zh-CN" w:bidi="ar-SA"/>
    </w:rPr>
  </w:style>
  <w:style w:type="paragraph" w:customStyle="1" w:styleId="87">
    <w:name w:val="表格"/>
    <w:next w:val="1"/>
    <w:qFormat/>
    <w:uiPriority w:val="99"/>
    <w:rPr>
      <w:rFonts w:ascii="Times New Roman" w:hAnsi="Times New Roman" w:eastAsia="宋体" w:cs="Times New Roman"/>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7" Type="http://schemas.microsoft.com/office/2011/relationships/people" Target="people.xml"/><Relationship Id="rId56" Type="http://schemas.openxmlformats.org/officeDocument/2006/relationships/fontTable" Target="fontTable.xml"/><Relationship Id="rId55" Type="http://schemas.openxmlformats.org/officeDocument/2006/relationships/customXml" Target="../customXml/item1.xml"/><Relationship Id="rId54" Type="http://schemas.openxmlformats.org/officeDocument/2006/relationships/numbering" Target="numbering.xml"/><Relationship Id="rId53" Type="http://schemas.openxmlformats.org/officeDocument/2006/relationships/image" Target="media/image21.png"/><Relationship Id="rId52" Type="http://schemas.openxmlformats.org/officeDocument/2006/relationships/image" Target="media/image20.jpeg"/><Relationship Id="rId51" Type="http://schemas.openxmlformats.org/officeDocument/2006/relationships/image" Target="media/image19.png"/><Relationship Id="rId50" Type="http://schemas.openxmlformats.org/officeDocument/2006/relationships/oleObject" Target="embeddings/oleObject19.bin"/><Relationship Id="rId5" Type="http://schemas.openxmlformats.org/officeDocument/2006/relationships/header" Target="header1.xml"/><Relationship Id="rId49" Type="http://schemas.openxmlformats.org/officeDocument/2006/relationships/oleObject" Target="embeddings/oleObject18.bin"/><Relationship Id="rId48" Type="http://schemas.openxmlformats.org/officeDocument/2006/relationships/oleObject" Target="embeddings/oleObject17.bin"/><Relationship Id="rId47" Type="http://schemas.openxmlformats.org/officeDocument/2006/relationships/oleObject" Target="embeddings/oleObject16.bin"/><Relationship Id="rId46" Type="http://schemas.openxmlformats.org/officeDocument/2006/relationships/image" Target="media/image18.wmf"/><Relationship Id="rId45" Type="http://schemas.openxmlformats.org/officeDocument/2006/relationships/oleObject" Target="embeddings/oleObject15.bin"/><Relationship Id="rId44" Type="http://schemas.openxmlformats.org/officeDocument/2006/relationships/image" Target="media/image17.wmf"/><Relationship Id="rId43" Type="http://schemas.openxmlformats.org/officeDocument/2006/relationships/oleObject" Target="embeddings/oleObject14.bin"/><Relationship Id="rId42" Type="http://schemas.openxmlformats.org/officeDocument/2006/relationships/image" Target="media/image16.wmf"/><Relationship Id="rId41" Type="http://schemas.openxmlformats.org/officeDocument/2006/relationships/oleObject" Target="embeddings/oleObject13.bin"/><Relationship Id="rId40" Type="http://schemas.openxmlformats.org/officeDocument/2006/relationships/image" Target="media/image15.wmf"/><Relationship Id="rId4" Type="http://schemas.openxmlformats.org/officeDocument/2006/relationships/endnotes" Target="endnotes.xml"/><Relationship Id="rId39" Type="http://schemas.openxmlformats.org/officeDocument/2006/relationships/oleObject" Target="embeddings/oleObject12.bin"/><Relationship Id="rId38" Type="http://schemas.openxmlformats.org/officeDocument/2006/relationships/image" Target="media/image14.wmf"/><Relationship Id="rId37" Type="http://schemas.openxmlformats.org/officeDocument/2006/relationships/oleObject" Target="embeddings/oleObject11.bin"/><Relationship Id="rId36" Type="http://schemas.openxmlformats.org/officeDocument/2006/relationships/image" Target="media/image13.wmf"/><Relationship Id="rId35" Type="http://schemas.openxmlformats.org/officeDocument/2006/relationships/oleObject" Target="embeddings/oleObject10.bin"/><Relationship Id="rId34" Type="http://schemas.openxmlformats.org/officeDocument/2006/relationships/image" Target="media/image12.wmf"/><Relationship Id="rId33" Type="http://schemas.openxmlformats.org/officeDocument/2006/relationships/oleObject" Target="embeddings/oleObject9.bin"/><Relationship Id="rId32" Type="http://schemas.openxmlformats.org/officeDocument/2006/relationships/image" Target="media/image11.wmf"/><Relationship Id="rId31" Type="http://schemas.openxmlformats.org/officeDocument/2006/relationships/oleObject" Target="embeddings/oleObject8.bin"/><Relationship Id="rId30" Type="http://schemas.openxmlformats.org/officeDocument/2006/relationships/image" Target="media/image10.wmf"/><Relationship Id="rId3" Type="http://schemas.openxmlformats.org/officeDocument/2006/relationships/footnotes" Target="footnotes.xml"/><Relationship Id="rId29" Type="http://schemas.openxmlformats.org/officeDocument/2006/relationships/oleObject" Target="embeddings/oleObject7.bin"/><Relationship Id="rId28" Type="http://schemas.openxmlformats.org/officeDocument/2006/relationships/image" Target="media/image9.png"/><Relationship Id="rId27" Type="http://schemas.openxmlformats.org/officeDocument/2006/relationships/image" Target="media/image8.wmf"/><Relationship Id="rId26" Type="http://schemas.openxmlformats.org/officeDocument/2006/relationships/oleObject" Target="embeddings/oleObject6.bin"/><Relationship Id="rId25" Type="http://schemas.openxmlformats.org/officeDocument/2006/relationships/image" Target="media/image7.wmf"/><Relationship Id="rId24" Type="http://schemas.openxmlformats.org/officeDocument/2006/relationships/oleObject" Target="embeddings/oleObject5.bin"/><Relationship Id="rId23" Type="http://schemas.openxmlformats.org/officeDocument/2006/relationships/image" Target="media/image6.wmf"/><Relationship Id="rId22" Type="http://schemas.openxmlformats.org/officeDocument/2006/relationships/oleObject" Target="embeddings/oleObject4.bin"/><Relationship Id="rId21" Type="http://schemas.openxmlformats.org/officeDocument/2006/relationships/image" Target="media/image5.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2.bin"/><Relationship Id="rId17" Type="http://schemas.openxmlformats.org/officeDocument/2006/relationships/image" Target="media/image3.wmf"/><Relationship Id="rId16" Type="http://schemas.openxmlformats.org/officeDocument/2006/relationships/oleObject" Target="embeddings/oleObject1.bin"/><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5392CB-4D2D-47E5-B1CA-5A78E87AFCB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265</Pages>
  <Words>149370</Words>
  <Characters>166283</Characters>
  <Lines>1375</Lines>
  <Paragraphs>387</Paragraphs>
  <TotalTime>38</TotalTime>
  <ScaleCrop>false</ScaleCrop>
  <LinksUpToDate>false</LinksUpToDate>
  <CharactersWithSpaces>168424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2022-09-06T13:26:00Z</dcterms:created>
  <dc:creator>Administrator</dc:creator>
  <cp:lastModifiedBy>长青藤</cp:lastModifiedBy>
  <cp:lastPrinted>2022-05-12T02:30:00Z</cp:lastPrinted>
  <dcterms:modified xsi:type="dcterms:W3CDTF">2023-07-31T02:44:17Z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D73DD4BED6734731BE149A86AC0F0A3D_13</vt:lpwstr>
  </property>
</Properties>
</file>